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145" w:rsidRDefault="00DA4145"/>
    <w:p w:rsidR="00DA4145" w:rsidRDefault="00DA4145"/>
    <w:p w:rsidR="008A6327" w:rsidRPr="00031C20" w:rsidRDefault="00DA4145" w:rsidP="007F745E">
      <w:pPr>
        <w:jc w:val="center"/>
        <w:outlineLvl w:val="0"/>
        <w:rPr>
          <w:rFonts w:ascii="Arial" w:hAnsi="Arial" w:cs="Arial"/>
          <w:b/>
          <w:sz w:val="24"/>
          <w:szCs w:val="24"/>
          <w:u w:val="single"/>
        </w:rPr>
      </w:pPr>
      <w:r w:rsidRPr="00031C20">
        <w:rPr>
          <w:rFonts w:ascii="Arial" w:hAnsi="Arial" w:cs="Arial"/>
          <w:b/>
          <w:sz w:val="24"/>
          <w:szCs w:val="24"/>
          <w:u w:val="single"/>
        </w:rPr>
        <w:t>Purchased Client Services Background Check Exemption Chart</w:t>
      </w:r>
    </w:p>
    <w:p w:rsidR="008A6327" w:rsidRDefault="008A6327" w:rsidP="008A6327">
      <w:pPr>
        <w:jc w:val="center"/>
        <w:rPr>
          <w:b/>
          <w:sz w:val="24"/>
          <w:szCs w:val="24"/>
          <w:u w:val="single"/>
        </w:rPr>
      </w:pPr>
    </w:p>
    <w:p w:rsidR="008A6327" w:rsidRPr="00031C20" w:rsidRDefault="008A6327" w:rsidP="007F745E">
      <w:pPr>
        <w:outlineLvl w:val="0"/>
        <w:rPr>
          <w:rFonts w:ascii="Arial" w:hAnsi="Arial" w:cs="Arial"/>
          <w:b/>
          <w:sz w:val="24"/>
          <w:szCs w:val="24"/>
          <w:u w:val="single"/>
        </w:rPr>
      </w:pPr>
      <w:r w:rsidRPr="00031C20">
        <w:rPr>
          <w:rFonts w:ascii="Arial" w:hAnsi="Arial" w:cs="Arial"/>
          <w:sz w:val="24"/>
          <w:szCs w:val="24"/>
        </w:rPr>
        <w:t>The following contract types are exempt from the DFPS PCS Background Check Policy except as otherwise noted below:</w:t>
      </w:r>
    </w:p>
    <w:p w:rsidR="00DA4145" w:rsidRDefault="00DA4145"/>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
        <w:gridCol w:w="2394"/>
        <w:gridCol w:w="4280"/>
        <w:gridCol w:w="5236"/>
      </w:tblGrid>
      <w:tr w:rsidR="00DA4145" w:rsidRPr="0079053B" w:rsidTr="00F42FB5">
        <w:trPr>
          <w:tblHeader/>
        </w:trPr>
        <w:tc>
          <w:tcPr>
            <w:tcW w:w="1472" w:type="dxa"/>
            <w:shd w:val="clear" w:color="auto" w:fill="auto"/>
            <w:vAlign w:val="center"/>
          </w:tcPr>
          <w:p w:rsidR="00DA4145" w:rsidRPr="0079053B" w:rsidRDefault="00DA4145" w:rsidP="0079053B">
            <w:pPr>
              <w:jc w:val="center"/>
              <w:rPr>
                <w:rFonts w:ascii="Arial" w:hAnsi="Arial" w:cs="Arial"/>
                <w:b/>
                <w:bCs/>
              </w:rPr>
            </w:pPr>
            <w:r w:rsidRPr="0079053B">
              <w:rPr>
                <w:rFonts w:ascii="Arial" w:hAnsi="Arial" w:cs="Arial"/>
                <w:b/>
                <w:bCs/>
              </w:rPr>
              <w:t>Program Area</w:t>
            </w:r>
          </w:p>
        </w:tc>
        <w:tc>
          <w:tcPr>
            <w:tcW w:w="2412" w:type="dxa"/>
            <w:shd w:val="clear" w:color="auto" w:fill="auto"/>
            <w:vAlign w:val="center"/>
          </w:tcPr>
          <w:p w:rsidR="00DA4145" w:rsidRPr="0079053B" w:rsidRDefault="00DA4145" w:rsidP="0079053B">
            <w:pPr>
              <w:jc w:val="center"/>
              <w:rPr>
                <w:rFonts w:ascii="Arial" w:hAnsi="Arial" w:cs="Arial"/>
                <w:b/>
                <w:bCs/>
              </w:rPr>
            </w:pPr>
            <w:r w:rsidRPr="0079053B">
              <w:rPr>
                <w:rFonts w:ascii="Arial" w:hAnsi="Arial" w:cs="Arial"/>
                <w:b/>
                <w:bCs/>
              </w:rPr>
              <w:t xml:space="preserve">Subject </w:t>
            </w:r>
          </w:p>
          <w:p w:rsidR="00DA4145" w:rsidRPr="0079053B" w:rsidRDefault="00DA4145" w:rsidP="0079053B">
            <w:pPr>
              <w:jc w:val="center"/>
              <w:rPr>
                <w:rFonts w:ascii="Arial" w:hAnsi="Arial" w:cs="Arial"/>
                <w:b/>
                <w:bCs/>
              </w:rPr>
            </w:pPr>
            <w:r w:rsidRPr="0079053B">
              <w:rPr>
                <w:rFonts w:ascii="Arial" w:hAnsi="Arial" w:cs="Arial"/>
                <w:b/>
                <w:bCs/>
                <w:sz w:val="16"/>
                <w:szCs w:val="16"/>
              </w:rPr>
              <w:t>(i.e., Primary Service)</w:t>
            </w:r>
          </w:p>
        </w:tc>
        <w:tc>
          <w:tcPr>
            <w:tcW w:w="4320" w:type="dxa"/>
            <w:shd w:val="clear" w:color="auto" w:fill="auto"/>
            <w:vAlign w:val="center"/>
          </w:tcPr>
          <w:p w:rsidR="00DA4145" w:rsidRPr="0079053B" w:rsidRDefault="00DA4145" w:rsidP="0079053B">
            <w:pPr>
              <w:jc w:val="center"/>
              <w:rPr>
                <w:rFonts w:ascii="Arial" w:hAnsi="Arial" w:cs="Arial"/>
                <w:b/>
                <w:bCs/>
              </w:rPr>
            </w:pPr>
            <w:r w:rsidRPr="0079053B">
              <w:rPr>
                <w:rFonts w:ascii="Arial" w:hAnsi="Arial" w:cs="Arial"/>
                <w:b/>
                <w:bCs/>
              </w:rPr>
              <w:t>Description</w:t>
            </w:r>
          </w:p>
        </w:tc>
        <w:tc>
          <w:tcPr>
            <w:tcW w:w="5296" w:type="dxa"/>
            <w:shd w:val="clear" w:color="auto" w:fill="auto"/>
            <w:vAlign w:val="center"/>
          </w:tcPr>
          <w:p w:rsidR="00DA4145" w:rsidRPr="0079053B" w:rsidRDefault="008A6327" w:rsidP="0079053B">
            <w:pPr>
              <w:jc w:val="center"/>
              <w:rPr>
                <w:rFonts w:ascii="Arial" w:hAnsi="Arial" w:cs="Arial"/>
                <w:b/>
                <w:bCs/>
              </w:rPr>
            </w:pPr>
            <w:r w:rsidRPr="0079053B">
              <w:rPr>
                <w:rFonts w:ascii="Arial" w:hAnsi="Arial" w:cs="Arial"/>
                <w:b/>
                <w:bCs/>
              </w:rPr>
              <w:t xml:space="preserve">Are there variables or other policies to consider </w:t>
            </w:r>
            <w:r w:rsidR="002626A7" w:rsidRPr="0079053B">
              <w:rPr>
                <w:rFonts w:ascii="Arial" w:hAnsi="Arial" w:cs="Arial"/>
                <w:b/>
                <w:bCs/>
              </w:rPr>
              <w:t xml:space="preserve">regarding </w:t>
            </w:r>
            <w:r w:rsidRPr="0079053B">
              <w:rPr>
                <w:rFonts w:ascii="Arial" w:hAnsi="Arial" w:cs="Arial"/>
                <w:b/>
                <w:bCs/>
              </w:rPr>
              <w:t>background checks?</w:t>
            </w:r>
          </w:p>
        </w:tc>
      </w:tr>
      <w:tr w:rsidR="00DA4145" w:rsidRPr="0079053B" w:rsidTr="0079053B">
        <w:tc>
          <w:tcPr>
            <w:tcW w:w="1472" w:type="dxa"/>
            <w:shd w:val="clear" w:color="auto" w:fill="auto"/>
          </w:tcPr>
          <w:p w:rsidR="00DA4145" w:rsidRPr="0079053B" w:rsidRDefault="00DA4145" w:rsidP="00D008CF">
            <w:pPr>
              <w:pStyle w:val="BodyText"/>
              <w:rPr>
                <w:sz w:val="20"/>
              </w:rPr>
            </w:pPr>
            <w:r w:rsidRPr="0079053B">
              <w:rPr>
                <w:sz w:val="20"/>
              </w:rPr>
              <w:t xml:space="preserve">All </w:t>
            </w:r>
          </w:p>
        </w:tc>
        <w:tc>
          <w:tcPr>
            <w:tcW w:w="2412" w:type="dxa"/>
            <w:shd w:val="clear" w:color="auto" w:fill="auto"/>
          </w:tcPr>
          <w:p w:rsidR="00DA4145" w:rsidRPr="0079053B" w:rsidRDefault="00DA4145" w:rsidP="00D008CF">
            <w:pPr>
              <w:pStyle w:val="BodyText"/>
              <w:rPr>
                <w:sz w:val="18"/>
                <w:szCs w:val="18"/>
              </w:rPr>
            </w:pPr>
            <w:r w:rsidRPr="0079053B">
              <w:rPr>
                <w:sz w:val="18"/>
                <w:szCs w:val="18"/>
              </w:rPr>
              <w:t>Interagency Contracts (IACS)</w:t>
            </w:r>
          </w:p>
        </w:tc>
        <w:tc>
          <w:tcPr>
            <w:tcW w:w="4320" w:type="dxa"/>
            <w:shd w:val="clear" w:color="auto" w:fill="auto"/>
          </w:tcPr>
          <w:p w:rsidR="00DA4145" w:rsidRPr="0079053B" w:rsidRDefault="00DA4145" w:rsidP="00D008CF">
            <w:pPr>
              <w:pStyle w:val="BodyText"/>
              <w:rPr>
                <w:sz w:val="18"/>
                <w:szCs w:val="18"/>
              </w:rPr>
            </w:pPr>
            <w:r w:rsidRPr="0079053B">
              <w:rPr>
                <w:sz w:val="18"/>
                <w:szCs w:val="18"/>
              </w:rPr>
              <w:t xml:space="preserve">Contracts with other state agencies for various purposes, including research projects. </w:t>
            </w:r>
          </w:p>
        </w:tc>
        <w:tc>
          <w:tcPr>
            <w:tcW w:w="5296" w:type="dxa"/>
            <w:shd w:val="clear" w:color="auto" w:fill="auto"/>
          </w:tcPr>
          <w:p w:rsidR="00DA4145" w:rsidRDefault="008A6327" w:rsidP="00D008CF">
            <w:pPr>
              <w:pStyle w:val="BodyText"/>
              <w:rPr>
                <w:rStyle w:val="Hyperlink"/>
                <w:sz w:val="18"/>
                <w:szCs w:val="18"/>
              </w:rPr>
            </w:pPr>
            <w:r w:rsidRPr="0079053B">
              <w:rPr>
                <w:sz w:val="18"/>
                <w:szCs w:val="18"/>
              </w:rPr>
              <w:t xml:space="preserve">Yes. </w:t>
            </w:r>
            <w:r w:rsidR="00DA4145" w:rsidRPr="0079053B">
              <w:rPr>
                <w:sz w:val="18"/>
                <w:szCs w:val="18"/>
              </w:rPr>
              <w:t xml:space="preserve">If the Contractor Staff under the IAC do not have access to clients but do have access to the DFPS network or any DFPS application, background checks are required through </w:t>
            </w:r>
            <w:hyperlink r:id="rId6" w:history="1">
              <w:r w:rsidR="00DA4145" w:rsidRPr="0079053B">
                <w:rPr>
                  <w:rStyle w:val="Hyperlink"/>
                  <w:sz w:val="18"/>
                  <w:szCs w:val="18"/>
                </w:rPr>
                <w:t xml:space="preserve">DFPS Operating Policy 2104 (Background Checks for External User Access to Information Resources). </w:t>
              </w:r>
            </w:hyperlink>
          </w:p>
          <w:p w:rsidR="000E3AD7" w:rsidRDefault="000E3AD7" w:rsidP="00D008CF">
            <w:pPr>
              <w:pStyle w:val="BodyText"/>
              <w:rPr>
                <w:sz w:val="18"/>
                <w:szCs w:val="18"/>
              </w:rPr>
            </w:pPr>
          </w:p>
          <w:p w:rsidR="00DA4145" w:rsidRDefault="00DA4145" w:rsidP="00D008CF">
            <w:pPr>
              <w:pStyle w:val="BodyText"/>
              <w:rPr>
                <w:sz w:val="18"/>
                <w:szCs w:val="18"/>
              </w:rPr>
            </w:pPr>
            <w:r w:rsidRPr="0079053B">
              <w:rPr>
                <w:sz w:val="18"/>
                <w:szCs w:val="18"/>
              </w:rPr>
              <w:t>If the Contractor Staff are not required to conduct checks under the above referenced policy, then the Regional Director or designee of the relevant DFPS program area must complete an evaluation to determine if background checks should be conducted through the PCS Background Check Policy. The evaluation should focus on the protection of clients and their information.</w:t>
            </w:r>
          </w:p>
          <w:p w:rsidR="00E26CD9" w:rsidRPr="0079053B" w:rsidRDefault="00E26CD9" w:rsidP="00D008CF">
            <w:pPr>
              <w:pStyle w:val="BodyText"/>
              <w:rPr>
                <w:sz w:val="18"/>
                <w:szCs w:val="18"/>
              </w:rPr>
            </w:pPr>
          </w:p>
        </w:tc>
      </w:tr>
      <w:tr w:rsidR="00DA4145" w:rsidRPr="0079053B" w:rsidTr="0079053B">
        <w:tc>
          <w:tcPr>
            <w:tcW w:w="1472" w:type="dxa"/>
            <w:shd w:val="clear" w:color="auto" w:fill="auto"/>
          </w:tcPr>
          <w:p w:rsidR="00DA4145" w:rsidRPr="0079053B" w:rsidRDefault="00DA4145" w:rsidP="00D008CF">
            <w:pPr>
              <w:pStyle w:val="BodyText"/>
              <w:rPr>
                <w:sz w:val="20"/>
              </w:rPr>
            </w:pPr>
            <w:r w:rsidRPr="0079053B">
              <w:rPr>
                <w:sz w:val="20"/>
              </w:rPr>
              <w:t>HHSC</w:t>
            </w:r>
          </w:p>
        </w:tc>
        <w:tc>
          <w:tcPr>
            <w:tcW w:w="2412" w:type="dxa"/>
            <w:shd w:val="clear" w:color="auto" w:fill="auto"/>
          </w:tcPr>
          <w:p w:rsidR="00DA4145" w:rsidRPr="0079053B" w:rsidRDefault="00DA4145" w:rsidP="00D008CF">
            <w:pPr>
              <w:pStyle w:val="BodyText"/>
              <w:rPr>
                <w:sz w:val="18"/>
                <w:szCs w:val="18"/>
              </w:rPr>
            </w:pPr>
            <w:r w:rsidRPr="0079053B">
              <w:rPr>
                <w:sz w:val="18"/>
                <w:szCs w:val="18"/>
              </w:rPr>
              <w:t>Superior Heath Plan</w:t>
            </w:r>
          </w:p>
        </w:tc>
        <w:tc>
          <w:tcPr>
            <w:tcW w:w="4320" w:type="dxa"/>
            <w:shd w:val="clear" w:color="auto" w:fill="auto"/>
          </w:tcPr>
          <w:p w:rsidR="00DA4145" w:rsidRDefault="00DA4145" w:rsidP="00D008CF">
            <w:pPr>
              <w:pStyle w:val="BodyText"/>
              <w:rPr>
                <w:sz w:val="18"/>
                <w:szCs w:val="18"/>
              </w:rPr>
            </w:pPr>
            <w:r w:rsidRPr="0079053B">
              <w:rPr>
                <w:sz w:val="18"/>
                <w:szCs w:val="18"/>
              </w:rPr>
              <w:t xml:space="preserve">Behavioral/Medical Professionals </w:t>
            </w:r>
          </w:p>
          <w:p w:rsidR="00E26CD9" w:rsidRPr="0079053B" w:rsidRDefault="00E26CD9" w:rsidP="00D008CF">
            <w:pPr>
              <w:pStyle w:val="BodyText"/>
              <w:rPr>
                <w:sz w:val="18"/>
                <w:szCs w:val="18"/>
              </w:rPr>
            </w:pPr>
          </w:p>
        </w:tc>
        <w:tc>
          <w:tcPr>
            <w:tcW w:w="5296" w:type="dxa"/>
            <w:shd w:val="clear" w:color="auto" w:fill="auto"/>
          </w:tcPr>
          <w:p w:rsidR="00DA4145" w:rsidRPr="0079053B" w:rsidRDefault="00DA4145" w:rsidP="007138EE">
            <w:pPr>
              <w:pStyle w:val="BodyText"/>
              <w:rPr>
                <w:sz w:val="18"/>
                <w:szCs w:val="18"/>
              </w:rPr>
            </w:pPr>
            <w:r w:rsidRPr="0079053B">
              <w:rPr>
                <w:sz w:val="18"/>
                <w:szCs w:val="18"/>
              </w:rPr>
              <w:t xml:space="preserve">No. </w:t>
            </w:r>
          </w:p>
        </w:tc>
      </w:tr>
      <w:tr w:rsidR="00DA4145" w:rsidRPr="0079053B" w:rsidTr="0079053B">
        <w:tc>
          <w:tcPr>
            <w:tcW w:w="1472" w:type="dxa"/>
            <w:shd w:val="clear" w:color="auto" w:fill="auto"/>
          </w:tcPr>
          <w:p w:rsidR="00DA4145" w:rsidRPr="0079053B" w:rsidRDefault="00DA4145" w:rsidP="00D008CF">
            <w:pPr>
              <w:pStyle w:val="BodyText"/>
              <w:rPr>
                <w:sz w:val="20"/>
              </w:rPr>
            </w:pPr>
            <w:r w:rsidRPr="0079053B">
              <w:rPr>
                <w:sz w:val="20"/>
              </w:rPr>
              <w:t>APS and CPS</w:t>
            </w:r>
          </w:p>
        </w:tc>
        <w:tc>
          <w:tcPr>
            <w:tcW w:w="2412" w:type="dxa"/>
            <w:shd w:val="clear" w:color="auto" w:fill="auto"/>
          </w:tcPr>
          <w:p w:rsidR="00DA4145" w:rsidRPr="0079053B" w:rsidRDefault="00DA4145" w:rsidP="00D008CF">
            <w:pPr>
              <w:pStyle w:val="BodyText"/>
              <w:rPr>
                <w:sz w:val="18"/>
                <w:szCs w:val="18"/>
              </w:rPr>
            </w:pPr>
            <w:r w:rsidRPr="0079053B">
              <w:rPr>
                <w:sz w:val="18"/>
                <w:szCs w:val="18"/>
              </w:rPr>
              <w:t>Claims Processing</w:t>
            </w:r>
          </w:p>
        </w:tc>
        <w:tc>
          <w:tcPr>
            <w:tcW w:w="4320" w:type="dxa"/>
            <w:shd w:val="clear" w:color="auto" w:fill="auto"/>
          </w:tcPr>
          <w:p w:rsidR="00DA4145" w:rsidRDefault="00DA4145" w:rsidP="00D008CF">
            <w:pPr>
              <w:pStyle w:val="BodyText"/>
              <w:rPr>
                <w:sz w:val="18"/>
                <w:szCs w:val="18"/>
              </w:rPr>
            </w:pPr>
            <w:r w:rsidRPr="0079053B">
              <w:rPr>
                <w:sz w:val="18"/>
                <w:szCs w:val="18"/>
              </w:rPr>
              <w:t>Contracted check writing services for the purpose of processing payment to persons and entities (who do not have an existing contract with the Department) that delivered goods or services to eligible clients.</w:t>
            </w:r>
          </w:p>
          <w:p w:rsidR="00E26CD9" w:rsidRPr="0079053B" w:rsidRDefault="00E26CD9" w:rsidP="00D008CF">
            <w:pPr>
              <w:pStyle w:val="BodyText"/>
              <w:rPr>
                <w:b/>
                <w:sz w:val="18"/>
                <w:szCs w:val="18"/>
              </w:rPr>
            </w:pPr>
          </w:p>
        </w:tc>
        <w:tc>
          <w:tcPr>
            <w:tcW w:w="5296" w:type="dxa"/>
            <w:shd w:val="clear" w:color="auto" w:fill="auto"/>
          </w:tcPr>
          <w:p w:rsidR="00DA4145" w:rsidRPr="0079053B" w:rsidRDefault="00DA4145" w:rsidP="00D008CF">
            <w:pPr>
              <w:pStyle w:val="BodyText"/>
              <w:rPr>
                <w:sz w:val="18"/>
                <w:szCs w:val="18"/>
              </w:rPr>
            </w:pPr>
            <w:r w:rsidRPr="0079053B">
              <w:rPr>
                <w:sz w:val="18"/>
                <w:szCs w:val="18"/>
              </w:rPr>
              <w:t xml:space="preserve">No. </w:t>
            </w:r>
          </w:p>
        </w:tc>
      </w:tr>
      <w:tr w:rsidR="00DA4145" w:rsidRPr="0079053B" w:rsidTr="0079053B">
        <w:tc>
          <w:tcPr>
            <w:tcW w:w="1472" w:type="dxa"/>
            <w:shd w:val="clear" w:color="auto" w:fill="auto"/>
          </w:tcPr>
          <w:p w:rsidR="00DA4145" w:rsidRPr="0079053B" w:rsidRDefault="00DA4145" w:rsidP="00D008CF">
            <w:pPr>
              <w:pStyle w:val="BodyText"/>
              <w:rPr>
                <w:sz w:val="20"/>
              </w:rPr>
            </w:pPr>
            <w:r w:rsidRPr="0079053B">
              <w:rPr>
                <w:sz w:val="20"/>
              </w:rPr>
              <w:t>APS and CPS</w:t>
            </w:r>
          </w:p>
        </w:tc>
        <w:tc>
          <w:tcPr>
            <w:tcW w:w="2412" w:type="dxa"/>
            <w:shd w:val="clear" w:color="auto" w:fill="auto"/>
          </w:tcPr>
          <w:p w:rsidR="00DA4145" w:rsidRPr="0079053B" w:rsidRDefault="00DA4145" w:rsidP="00D008CF">
            <w:pPr>
              <w:pStyle w:val="BodyText"/>
              <w:rPr>
                <w:sz w:val="18"/>
                <w:szCs w:val="18"/>
              </w:rPr>
            </w:pPr>
            <w:r w:rsidRPr="0079053B">
              <w:rPr>
                <w:sz w:val="18"/>
                <w:szCs w:val="18"/>
              </w:rPr>
              <w:t>Translator Services</w:t>
            </w:r>
          </w:p>
        </w:tc>
        <w:tc>
          <w:tcPr>
            <w:tcW w:w="4320" w:type="dxa"/>
            <w:shd w:val="clear" w:color="auto" w:fill="auto"/>
          </w:tcPr>
          <w:p w:rsidR="00DA4145" w:rsidRDefault="00DA4145" w:rsidP="00D008CF">
            <w:pPr>
              <w:pStyle w:val="BodyText"/>
              <w:rPr>
                <w:sz w:val="18"/>
                <w:szCs w:val="18"/>
              </w:rPr>
            </w:pPr>
            <w:r w:rsidRPr="0079053B">
              <w:rPr>
                <w:sz w:val="18"/>
                <w:szCs w:val="18"/>
              </w:rPr>
              <w:t>Provide language translation services to DFPS clients. These services are either billed under administrative contracts, or sometimes under a Client Services Contract.</w:t>
            </w:r>
          </w:p>
          <w:p w:rsidR="00E26CD9" w:rsidRPr="0079053B" w:rsidRDefault="00E26CD9" w:rsidP="00D008CF">
            <w:pPr>
              <w:pStyle w:val="BodyText"/>
              <w:rPr>
                <w:sz w:val="18"/>
                <w:szCs w:val="18"/>
              </w:rPr>
            </w:pPr>
          </w:p>
        </w:tc>
        <w:tc>
          <w:tcPr>
            <w:tcW w:w="5296" w:type="dxa"/>
            <w:shd w:val="clear" w:color="auto" w:fill="auto"/>
          </w:tcPr>
          <w:p w:rsidR="00DA4145" w:rsidRPr="0079053B" w:rsidRDefault="00DA4145" w:rsidP="00D008CF">
            <w:pPr>
              <w:pStyle w:val="BodyText"/>
              <w:rPr>
                <w:sz w:val="18"/>
                <w:szCs w:val="18"/>
              </w:rPr>
            </w:pPr>
            <w:r w:rsidRPr="0079053B">
              <w:rPr>
                <w:sz w:val="18"/>
                <w:szCs w:val="18"/>
              </w:rPr>
              <w:t xml:space="preserve">No. </w:t>
            </w:r>
          </w:p>
        </w:tc>
      </w:tr>
      <w:tr w:rsidR="00F80F30" w:rsidRPr="0079053B" w:rsidTr="008353A7">
        <w:tc>
          <w:tcPr>
            <w:tcW w:w="1472" w:type="dxa"/>
            <w:shd w:val="clear" w:color="auto" w:fill="auto"/>
          </w:tcPr>
          <w:p w:rsidR="00F80F30" w:rsidRPr="0079053B" w:rsidRDefault="00F80F30" w:rsidP="008353A7">
            <w:pPr>
              <w:pStyle w:val="BodyText"/>
              <w:rPr>
                <w:sz w:val="20"/>
              </w:rPr>
            </w:pPr>
            <w:r>
              <w:rPr>
                <w:sz w:val="20"/>
              </w:rPr>
              <w:t>APS</w:t>
            </w:r>
          </w:p>
        </w:tc>
        <w:tc>
          <w:tcPr>
            <w:tcW w:w="2412" w:type="dxa"/>
            <w:shd w:val="clear" w:color="auto" w:fill="auto"/>
          </w:tcPr>
          <w:p w:rsidR="00F80F30" w:rsidRPr="0079053B" w:rsidRDefault="00F80F30" w:rsidP="008353A7">
            <w:pPr>
              <w:pStyle w:val="BodyText"/>
              <w:rPr>
                <w:sz w:val="18"/>
                <w:szCs w:val="18"/>
              </w:rPr>
            </w:pPr>
            <w:r>
              <w:rPr>
                <w:sz w:val="18"/>
                <w:szCs w:val="18"/>
              </w:rPr>
              <w:t>Nursing Home Care</w:t>
            </w:r>
          </w:p>
        </w:tc>
        <w:tc>
          <w:tcPr>
            <w:tcW w:w="4320" w:type="dxa"/>
            <w:shd w:val="clear" w:color="auto" w:fill="auto"/>
          </w:tcPr>
          <w:p w:rsidR="00F80F30" w:rsidRPr="0079053B" w:rsidRDefault="00250663" w:rsidP="00250663">
            <w:pPr>
              <w:pStyle w:val="BodyText"/>
              <w:rPr>
                <w:sz w:val="18"/>
                <w:szCs w:val="18"/>
              </w:rPr>
            </w:pPr>
            <w:r>
              <w:rPr>
                <w:sz w:val="18"/>
                <w:szCs w:val="18"/>
              </w:rPr>
              <w:t>Temporary</w:t>
            </w:r>
            <w:r w:rsidR="00F80F30">
              <w:rPr>
                <w:sz w:val="18"/>
                <w:szCs w:val="18"/>
              </w:rPr>
              <w:t xml:space="preserve"> emergency nursing home care for APS clients. The care is provi</w:t>
            </w:r>
            <w:r>
              <w:rPr>
                <w:sz w:val="18"/>
                <w:szCs w:val="18"/>
              </w:rPr>
              <w:t>ded in licensed DADS facilities, and the contract is only needed until either Medicaid or private pay resources take over.</w:t>
            </w:r>
          </w:p>
        </w:tc>
        <w:tc>
          <w:tcPr>
            <w:tcW w:w="5296" w:type="dxa"/>
            <w:shd w:val="clear" w:color="auto" w:fill="auto"/>
          </w:tcPr>
          <w:p w:rsidR="00F80F30" w:rsidRPr="0079053B" w:rsidRDefault="00250663" w:rsidP="008353A7">
            <w:pPr>
              <w:pStyle w:val="BodyText"/>
              <w:rPr>
                <w:sz w:val="18"/>
                <w:szCs w:val="18"/>
              </w:rPr>
            </w:pPr>
            <w:r>
              <w:rPr>
                <w:sz w:val="18"/>
                <w:szCs w:val="18"/>
              </w:rPr>
              <w:t>No</w:t>
            </w:r>
          </w:p>
        </w:tc>
      </w:tr>
      <w:tr w:rsidR="00250663" w:rsidRPr="0079053B" w:rsidTr="008353A7">
        <w:tc>
          <w:tcPr>
            <w:tcW w:w="1472" w:type="dxa"/>
            <w:shd w:val="clear" w:color="auto" w:fill="auto"/>
          </w:tcPr>
          <w:p w:rsidR="00250663" w:rsidRDefault="00250663" w:rsidP="008353A7">
            <w:pPr>
              <w:pStyle w:val="BodyText"/>
              <w:rPr>
                <w:sz w:val="20"/>
              </w:rPr>
            </w:pPr>
            <w:r>
              <w:rPr>
                <w:sz w:val="20"/>
              </w:rPr>
              <w:t>APS</w:t>
            </w:r>
          </w:p>
        </w:tc>
        <w:tc>
          <w:tcPr>
            <w:tcW w:w="2412" w:type="dxa"/>
            <w:shd w:val="clear" w:color="auto" w:fill="auto"/>
          </w:tcPr>
          <w:p w:rsidR="00250663" w:rsidRDefault="00250663" w:rsidP="008353A7">
            <w:pPr>
              <w:pStyle w:val="BodyText"/>
              <w:rPr>
                <w:sz w:val="18"/>
                <w:szCs w:val="18"/>
              </w:rPr>
            </w:pPr>
            <w:r>
              <w:rPr>
                <w:sz w:val="18"/>
                <w:szCs w:val="18"/>
              </w:rPr>
              <w:t>Personal Care Assistance</w:t>
            </w:r>
          </w:p>
        </w:tc>
        <w:tc>
          <w:tcPr>
            <w:tcW w:w="4320" w:type="dxa"/>
            <w:shd w:val="clear" w:color="auto" w:fill="auto"/>
          </w:tcPr>
          <w:p w:rsidR="00250663" w:rsidRDefault="00250663" w:rsidP="00250663">
            <w:pPr>
              <w:pStyle w:val="BodyText"/>
              <w:rPr>
                <w:sz w:val="18"/>
                <w:szCs w:val="18"/>
              </w:rPr>
            </w:pPr>
            <w:r>
              <w:rPr>
                <w:sz w:val="18"/>
                <w:szCs w:val="18"/>
              </w:rPr>
              <w:t>Temporary a</w:t>
            </w:r>
            <w:r w:rsidRPr="00250663">
              <w:rPr>
                <w:sz w:val="18"/>
                <w:szCs w:val="18"/>
              </w:rPr>
              <w:t>ttendant care in the client’s home to assist the client in daily living activities</w:t>
            </w:r>
            <w:r>
              <w:rPr>
                <w:sz w:val="18"/>
                <w:szCs w:val="18"/>
              </w:rPr>
              <w:t xml:space="preserve">. </w:t>
            </w:r>
            <w:r w:rsidRPr="00250663">
              <w:rPr>
                <w:sz w:val="18"/>
                <w:szCs w:val="18"/>
              </w:rPr>
              <w:t>Only DADS contracted agencies are used</w:t>
            </w:r>
            <w:r>
              <w:rPr>
                <w:sz w:val="18"/>
                <w:szCs w:val="18"/>
              </w:rPr>
              <w:t xml:space="preserve">, and the contract is </w:t>
            </w:r>
            <w:r>
              <w:rPr>
                <w:sz w:val="18"/>
                <w:szCs w:val="18"/>
              </w:rPr>
              <w:lastRenderedPageBreak/>
              <w:t>only needed until the client is accepted for services by DADS.</w:t>
            </w:r>
          </w:p>
        </w:tc>
        <w:tc>
          <w:tcPr>
            <w:tcW w:w="5296" w:type="dxa"/>
            <w:shd w:val="clear" w:color="auto" w:fill="auto"/>
          </w:tcPr>
          <w:p w:rsidR="00250663" w:rsidRDefault="00250663" w:rsidP="008353A7">
            <w:pPr>
              <w:pStyle w:val="BodyText"/>
              <w:rPr>
                <w:sz w:val="18"/>
                <w:szCs w:val="18"/>
              </w:rPr>
            </w:pPr>
            <w:r>
              <w:rPr>
                <w:sz w:val="18"/>
                <w:szCs w:val="18"/>
              </w:rPr>
              <w:lastRenderedPageBreak/>
              <w:t>No</w:t>
            </w:r>
          </w:p>
        </w:tc>
      </w:tr>
      <w:tr w:rsidR="00DA4145" w:rsidRPr="0079053B" w:rsidTr="0079053B">
        <w:tc>
          <w:tcPr>
            <w:tcW w:w="1472" w:type="dxa"/>
            <w:shd w:val="clear" w:color="auto" w:fill="auto"/>
          </w:tcPr>
          <w:p w:rsidR="00DA4145" w:rsidRPr="0079053B" w:rsidRDefault="00DA4145" w:rsidP="00D008CF">
            <w:pPr>
              <w:pStyle w:val="BodyText"/>
              <w:rPr>
                <w:sz w:val="20"/>
              </w:rPr>
            </w:pPr>
            <w:r w:rsidRPr="0079053B">
              <w:rPr>
                <w:sz w:val="20"/>
              </w:rPr>
              <w:t>CPS</w:t>
            </w:r>
          </w:p>
        </w:tc>
        <w:tc>
          <w:tcPr>
            <w:tcW w:w="2412" w:type="dxa"/>
            <w:shd w:val="clear" w:color="auto" w:fill="auto"/>
          </w:tcPr>
          <w:p w:rsidR="00DA4145" w:rsidRPr="0079053B" w:rsidRDefault="00DA4145" w:rsidP="00D008CF">
            <w:pPr>
              <w:pStyle w:val="BodyText"/>
              <w:rPr>
                <w:sz w:val="18"/>
                <w:szCs w:val="18"/>
              </w:rPr>
            </w:pPr>
            <w:r w:rsidRPr="0079053B">
              <w:rPr>
                <w:sz w:val="18"/>
                <w:szCs w:val="18"/>
              </w:rPr>
              <w:t>Community and Parent Groups</w:t>
            </w:r>
          </w:p>
        </w:tc>
        <w:tc>
          <w:tcPr>
            <w:tcW w:w="4320" w:type="dxa"/>
            <w:shd w:val="clear" w:color="auto" w:fill="auto"/>
          </w:tcPr>
          <w:p w:rsidR="00DA4145" w:rsidRDefault="00DA4145" w:rsidP="00D008CF">
            <w:pPr>
              <w:rPr>
                <w:rFonts w:ascii="Arial" w:hAnsi="Arial" w:cs="Arial"/>
                <w:sz w:val="18"/>
                <w:szCs w:val="18"/>
              </w:rPr>
            </w:pPr>
            <w:r w:rsidRPr="0079053B">
              <w:rPr>
                <w:rFonts w:ascii="Arial" w:hAnsi="Arial" w:cs="Arial"/>
                <w:sz w:val="18"/>
                <w:szCs w:val="18"/>
              </w:rPr>
              <w:t>Support and education based councils, associations, and organizations that develop and expand the activities of groups that promote services to abused and neglected children or their caregivers (e.g. Council on Adoptable Children, and Texas Foster Family Associations).</w:t>
            </w:r>
          </w:p>
          <w:p w:rsidR="00E26CD9" w:rsidRPr="0079053B" w:rsidRDefault="00E26CD9" w:rsidP="00D008CF">
            <w:pPr>
              <w:rPr>
                <w:rFonts w:ascii="Arial" w:hAnsi="Arial" w:cs="Arial"/>
                <w:sz w:val="18"/>
                <w:szCs w:val="18"/>
              </w:rPr>
            </w:pPr>
          </w:p>
        </w:tc>
        <w:tc>
          <w:tcPr>
            <w:tcW w:w="5296" w:type="dxa"/>
            <w:shd w:val="clear" w:color="auto" w:fill="auto"/>
          </w:tcPr>
          <w:p w:rsidR="00DA4145" w:rsidRPr="0079053B" w:rsidRDefault="00DA4145" w:rsidP="0079053B">
            <w:pPr>
              <w:overflowPunct/>
              <w:autoSpaceDE/>
              <w:autoSpaceDN/>
              <w:adjustRightInd/>
              <w:textAlignment w:val="auto"/>
              <w:rPr>
                <w:rFonts w:ascii="Arial" w:hAnsi="Arial" w:cs="Arial"/>
                <w:sz w:val="18"/>
                <w:szCs w:val="18"/>
              </w:rPr>
            </w:pPr>
            <w:r w:rsidRPr="0079053B">
              <w:rPr>
                <w:rFonts w:ascii="Arial" w:hAnsi="Arial" w:cs="Arial"/>
                <w:sz w:val="18"/>
                <w:szCs w:val="18"/>
              </w:rPr>
              <w:t xml:space="preserve">No. </w:t>
            </w:r>
          </w:p>
          <w:p w:rsidR="00DA4145" w:rsidRPr="0079053B" w:rsidRDefault="00DA4145" w:rsidP="0079053B">
            <w:pPr>
              <w:overflowPunct/>
              <w:autoSpaceDE/>
              <w:autoSpaceDN/>
              <w:adjustRightInd/>
              <w:textAlignment w:val="auto"/>
              <w:rPr>
                <w:b/>
                <w:sz w:val="18"/>
                <w:szCs w:val="18"/>
              </w:rPr>
            </w:pPr>
          </w:p>
        </w:tc>
      </w:tr>
      <w:tr w:rsidR="00DA4145" w:rsidRPr="0079053B" w:rsidTr="0079053B">
        <w:tc>
          <w:tcPr>
            <w:tcW w:w="1472" w:type="dxa"/>
            <w:shd w:val="clear" w:color="auto" w:fill="auto"/>
          </w:tcPr>
          <w:p w:rsidR="00DA4145" w:rsidRPr="0079053B" w:rsidRDefault="00DA4145" w:rsidP="00D008CF">
            <w:pPr>
              <w:pStyle w:val="BodyText"/>
              <w:rPr>
                <w:sz w:val="20"/>
              </w:rPr>
            </w:pPr>
            <w:r w:rsidRPr="0079053B">
              <w:rPr>
                <w:sz w:val="20"/>
              </w:rPr>
              <w:t>CPS</w:t>
            </w:r>
          </w:p>
        </w:tc>
        <w:tc>
          <w:tcPr>
            <w:tcW w:w="2412" w:type="dxa"/>
            <w:shd w:val="clear" w:color="auto" w:fill="auto"/>
          </w:tcPr>
          <w:p w:rsidR="00DA4145" w:rsidRPr="0079053B" w:rsidRDefault="00DA4145" w:rsidP="00D008CF">
            <w:pPr>
              <w:pStyle w:val="BodyText"/>
              <w:rPr>
                <w:sz w:val="18"/>
                <w:szCs w:val="18"/>
              </w:rPr>
            </w:pPr>
            <w:r w:rsidRPr="0079053B">
              <w:rPr>
                <w:sz w:val="18"/>
                <w:szCs w:val="18"/>
              </w:rPr>
              <w:t>Drug Testing</w:t>
            </w:r>
          </w:p>
        </w:tc>
        <w:tc>
          <w:tcPr>
            <w:tcW w:w="4320" w:type="dxa"/>
            <w:shd w:val="clear" w:color="auto" w:fill="auto"/>
          </w:tcPr>
          <w:p w:rsidR="00DA4145" w:rsidRDefault="00DA4145" w:rsidP="00D008CF">
            <w:pPr>
              <w:pStyle w:val="BodyText"/>
              <w:rPr>
                <w:sz w:val="18"/>
                <w:szCs w:val="18"/>
              </w:rPr>
            </w:pPr>
            <w:r w:rsidRPr="0079053B">
              <w:rPr>
                <w:sz w:val="18"/>
                <w:szCs w:val="18"/>
              </w:rPr>
              <w:t xml:space="preserve">Substance abuse testing for </w:t>
            </w:r>
            <w:proofErr w:type="gramStart"/>
            <w:r w:rsidRPr="0079053B">
              <w:rPr>
                <w:sz w:val="18"/>
                <w:szCs w:val="18"/>
              </w:rPr>
              <w:t>clients</w:t>
            </w:r>
            <w:proofErr w:type="gramEnd"/>
            <w:r w:rsidRPr="0079053B">
              <w:rPr>
                <w:sz w:val="18"/>
                <w:szCs w:val="18"/>
              </w:rPr>
              <w:t xml:space="preserve"> when/if the worker has reason to believe the client has a substance abuse problem and the client denies the problem and/or refuses to participate in substance abuse assessment and/or treatment.</w:t>
            </w:r>
          </w:p>
          <w:p w:rsidR="00E26CD9" w:rsidRPr="0079053B" w:rsidRDefault="00E26CD9" w:rsidP="00D008CF">
            <w:pPr>
              <w:pStyle w:val="BodyText"/>
              <w:rPr>
                <w:sz w:val="18"/>
                <w:szCs w:val="18"/>
              </w:rPr>
            </w:pPr>
          </w:p>
        </w:tc>
        <w:tc>
          <w:tcPr>
            <w:tcW w:w="5296" w:type="dxa"/>
            <w:shd w:val="clear" w:color="auto" w:fill="auto"/>
          </w:tcPr>
          <w:p w:rsidR="00DA4145" w:rsidRPr="0079053B" w:rsidRDefault="00DA4145" w:rsidP="00D008CF">
            <w:pPr>
              <w:pStyle w:val="BodyText"/>
              <w:rPr>
                <w:sz w:val="18"/>
                <w:szCs w:val="18"/>
              </w:rPr>
            </w:pPr>
            <w:r w:rsidRPr="0079053B">
              <w:rPr>
                <w:sz w:val="18"/>
                <w:szCs w:val="18"/>
              </w:rPr>
              <w:t xml:space="preserve">No. </w:t>
            </w:r>
          </w:p>
        </w:tc>
      </w:tr>
      <w:tr w:rsidR="00DA4145" w:rsidRPr="0079053B" w:rsidTr="0079053B">
        <w:tc>
          <w:tcPr>
            <w:tcW w:w="1472" w:type="dxa"/>
            <w:shd w:val="clear" w:color="auto" w:fill="auto"/>
          </w:tcPr>
          <w:p w:rsidR="00DA4145" w:rsidRPr="0079053B" w:rsidRDefault="00DA4145" w:rsidP="00D008CF">
            <w:pPr>
              <w:pStyle w:val="BodyText"/>
              <w:rPr>
                <w:sz w:val="20"/>
              </w:rPr>
            </w:pPr>
            <w:r w:rsidRPr="0079053B">
              <w:rPr>
                <w:sz w:val="20"/>
              </w:rPr>
              <w:t>CPS</w:t>
            </w:r>
          </w:p>
        </w:tc>
        <w:tc>
          <w:tcPr>
            <w:tcW w:w="2412" w:type="dxa"/>
            <w:shd w:val="clear" w:color="auto" w:fill="auto"/>
          </w:tcPr>
          <w:p w:rsidR="00DA4145" w:rsidRPr="0079053B" w:rsidRDefault="00DA4145" w:rsidP="00D008CF">
            <w:pPr>
              <w:pStyle w:val="BodyText"/>
              <w:rPr>
                <w:sz w:val="18"/>
                <w:szCs w:val="18"/>
              </w:rPr>
            </w:pPr>
            <w:r w:rsidRPr="0079053B">
              <w:rPr>
                <w:sz w:val="18"/>
                <w:szCs w:val="18"/>
              </w:rPr>
              <w:t xml:space="preserve">Out of State Contractors </w:t>
            </w:r>
          </w:p>
        </w:tc>
        <w:tc>
          <w:tcPr>
            <w:tcW w:w="4320" w:type="dxa"/>
            <w:shd w:val="clear" w:color="auto" w:fill="auto"/>
          </w:tcPr>
          <w:p w:rsidR="00DA4145" w:rsidRPr="0079053B" w:rsidRDefault="00DA4145" w:rsidP="00D008CF">
            <w:pPr>
              <w:pStyle w:val="BodyText"/>
              <w:rPr>
                <w:sz w:val="18"/>
                <w:szCs w:val="18"/>
              </w:rPr>
            </w:pPr>
            <w:r w:rsidRPr="0079053B">
              <w:rPr>
                <w:sz w:val="18"/>
                <w:szCs w:val="18"/>
              </w:rPr>
              <w:t xml:space="preserve">Such as Adoption Services, Placement Services, CPAs, and hospital sitters. </w:t>
            </w:r>
          </w:p>
        </w:tc>
        <w:tc>
          <w:tcPr>
            <w:tcW w:w="5296" w:type="dxa"/>
            <w:shd w:val="clear" w:color="auto" w:fill="auto"/>
          </w:tcPr>
          <w:p w:rsidR="00DA4145" w:rsidRPr="0079053B" w:rsidRDefault="002626A7" w:rsidP="00D008CF">
            <w:pPr>
              <w:pStyle w:val="BodyText"/>
              <w:rPr>
                <w:sz w:val="18"/>
                <w:szCs w:val="18"/>
              </w:rPr>
            </w:pPr>
            <w:r w:rsidRPr="0079053B">
              <w:rPr>
                <w:sz w:val="18"/>
                <w:szCs w:val="18"/>
              </w:rPr>
              <w:t xml:space="preserve">Yes. </w:t>
            </w:r>
            <w:r w:rsidR="00DA4145" w:rsidRPr="0079053B">
              <w:rPr>
                <w:sz w:val="18"/>
                <w:szCs w:val="18"/>
              </w:rPr>
              <w:t xml:space="preserve">It is the responsibility of the </w:t>
            </w:r>
            <w:r w:rsidR="00C12D1C" w:rsidRPr="0079053B">
              <w:rPr>
                <w:sz w:val="18"/>
                <w:szCs w:val="18"/>
              </w:rPr>
              <w:t xml:space="preserve">State Office CPS Director or the </w:t>
            </w:r>
            <w:r w:rsidR="00DA4145" w:rsidRPr="0079053B">
              <w:rPr>
                <w:sz w:val="18"/>
                <w:szCs w:val="18"/>
              </w:rPr>
              <w:t xml:space="preserve">CPS Regional Director or </w:t>
            </w:r>
            <w:r w:rsidR="00C12D1C" w:rsidRPr="0079053B">
              <w:rPr>
                <w:sz w:val="18"/>
                <w:szCs w:val="18"/>
              </w:rPr>
              <w:t xml:space="preserve">their </w:t>
            </w:r>
            <w:r w:rsidR="00DA4145" w:rsidRPr="0079053B">
              <w:rPr>
                <w:sz w:val="18"/>
                <w:szCs w:val="18"/>
              </w:rPr>
              <w:t xml:space="preserve">designee to complete an evaluation to determine if background checks are needed to protect clients and their information.  </w:t>
            </w:r>
          </w:p>
          <w:p w:rsidR="00DA4145" w:rsidRPr="0079053B" w:rsidRDefault="00DA4145" w:rsidP="00D008CF">
            <w:pPr>
              <w:pStyle w:val="BodyText"/>
              <w:rPr>
                <w:sz w:val="18"/>
                <w:szCs w:val="18"/>
              </w:rPr>
            </w:pPr>
          </w:p>
          <w:p w:rsidR="008A6327" w:rsidRDefault="00DA4145" w:rsidP="00D008CF">
            <w:pPr>
              <w:pStyle w:val="BodyText"/>
              <w:rPr>
                <w:sz w:val="16"/>
                <w:szCs w:val="16"/>
              </w:rPr>
            </w:pPr>
            <w:r w:rsidRPr="0079053B">
              <w:rPr>
                <w:sz w:val="18"/>
                <w:szCs w:val="18"/>
              </w:rPr>
              <w:t>If</w:t>
            </w:r>
            <w:r w:rsidR="00C12D1C" w:rsidRPr="0079053B">
              <w:rPr>
                <w:sz w:val="18"/>
                <w:szCs w:val="18"/>
              </w:rPr>
              <w:t xml:space="preserve"> it is determined that the Contractor has already conducted </w:t>
            </w:r>
            <w:r w:rsidRPr="0079053B">
              <w:rPr>
                <w:sz w:val="18"/>
                <w:szCs w:val="18"/>
              </w:rPr>
              <w:t xml:space="preserve"> background checks on their staff in their home state, then additional background checks through the PCS Background Check Policy will not be required</w:t>
            </w:r>
            <w:r w:rsidR="00C12D1C" w:rsidRPr="0079053B">
              <w:rPr>
                <w:sz w:val="16"/>
                <w:szCs w:val="16"/>
              </w:rPr>
              <w:t>.</w:t>
            </w:r>
          </w:p>
          <w:p w:rsidR="00E26CD9" w:rsidRPr="0079053B" w:rsidRDefault="00E26CD9" w:rsidP="00D008CF">
            <w:pPr>
              <w:pStyle w:val="BodyText"/>
              <w:rPr>
                <w:sz w:val="16"/>
                <w:szCs w:val="16"/>
              </w:rPr>
            </w:pPr>
          </w:p>
        </w:tc>
      </w:tr>
      <w:tr w:rsidR="00DA4145" w:rsidRPr="0079053B" w:rsidTr="0079053B">
        <w:trPr>
          <w:trHeight w:val="2825"/>
        </w:trPr>
        <w:tc>
          <w:tcPr>
            <w:tcW w:w="1472" w:type="dxa"/>
            <w:shd w:val="clear" w:color="auto" w:fill="auto"/>
          </w:tcPr>
          <w:p w:rsidR="00DA4145" w:rsidRPr="0079053B" w:rsidRDefault="00DA4145" w:rsidP="00D008CF">
            <w:pPr>
              <w:pStyle w:val="BodyText"/>
              <w:rPr>
                <w:sz w:val="20"/>
              </w:rPr>
            </w:pPr>
            <w:r w:rsidRPr="0079053B">
              <w:rPr>
                <w:sz w:val="20"/>
              </w:rPr>
              <w:t>CPS</w:t>
            </w:r>
          </w:p>
        </w:tc>
        <w:tc>
          <w:tcPr>
            <w:tcW w:w="2412" w:type="dxa"/>
            <w:shd w:val="clear" w:color="auto" w:fill="auto"/>
          </w:tcPr>
          <w:p w:rsidR="00DA4145" w:rsidRPr="0079053B" w:rsidRDefault="00DA4145" w:rsidP="0031689D">
            <w:pPr>
              <w:pStyle w:val="BodyText"/>
              <w:rPr>
                <w:sz w:val="18"/>
                <w:szCs w:val="18"/>
              </w:rPr>
            </w:pPr>
            <w:r w:rsidRPr="0079053B">
              <w:rPr>
                <w:sz w:val="18"/>
                <w:szCs w:val="18"/>
              </w:rPr>
              <w:t xml:space="preserve">Contractors for Child-Specific Contracts </w:t>
            </w:r>
          </w:p>
        </w:tc>
        <w:tc>
          <w:tcPr>
            <w:tcW w:w="4320" w:type="dxa"/>
            <w:shd w:val="clear" w:color="auto" w:fill="auto"/>
          </w:tcPr>
          <w:p w:rsidR="00DA4145" w:rsidRPr="0079053B" w:rsidRDefault="00DA4145" w:rsidP="00D008CF">
            <w:pPr>
              <w:pStyle w:val="BodyText"/>
              <w:rPr>
                <w:sz w:val="18"/>
                <w:szCs w:val="18"/>
              </w:rPr>
            </w:pPr>
            <w:r w:rsidRPr="0079053B">
              <w:rPr>
                <w:sz w:val="18"/>
                <w:szCs w:val="18"/>
              </w:rPr>
              <w:t xml:space="preserve">Contracts obtained by Non-competitive Procurement Waivers.  Approved waiver types are: </w:t>
            </w:r>
          </w:p>
          <w:p w:rsidR="00DA4145" w:rsidRPr="0079053B" w:rsidRDefault="00DA4145" w:rsidP="00D008CF">
            <w:pPr>
              <w:pStyle w:val="BodyText"/>
              <w:rPr>
                <w:sz w:val="18"/>
                <w:szCs w:val="18"/>
              </w:rPr>
            </w:pPr>
            <w:r w:rsidRPr="0079053B">
              <w:rPr>
                <w:sz w:val="18"/>
                <w:szCs w:val="18"/>
              </w:rPr>
              <w:t>1. Exigent waivers</w:t>
            </w:r>
          </w:p>
          <w:p w:rsidR="00DA4145" w:rsidRPr="0079053B" w:rsidRDefault="00DA4145" w:rsidP="00D008CF">
            <w:pPr>
              <w:pStyle w:val="BodyText"/>
              <w:rPr>
                <w:sz w:val="18"/>
                <w:szCs w:val="18"/>
              </w:rPr>
            </w:pPr>
            <w:r w:rsidRPr="0079053B">
              <w:rPr>
                <w:sz w:val="18"/>
                <w:szCs w:val="18"/>
              </w:rPr>
              <w:t>2. Sole Source Waivers</w:t>
            </w:r>
          </w:p>
          <w:p w:rsidR="00DA4145" w:rsidRPr="0079053B" w:rsidRDefault="00DA4145" w:rsidP="00D008CF">
            <w:pPr>
              <w:pStyle w:val="BodyText"/>
              <w:rPr>
                <w:sz w:val="18"/>
                <w:szCs w:val="18"/>
              </w:rPr>
            </w:pPr>
            <w:r w:rsidRPr="0079053B">
              <w:rPr>
                <w:sz w:val="18"/>
                <w:szCs w:val="18"/>
              </w:rPr>
              <w:t>3. Emergency Waivers</w:t>
            </w:r>
          </w:p>
          <w:p w:rsidR="00DA4145" w:rsidRPr="0079053B" w:rsidRDefault="00DA4145" w:rsidP="00D008CF">
            <w:pPr>
              <w:pStyle w:val="BodyText"/>
              <w:rPr>
                <w:sz w:val="18"/>
                <w:szCs w:val="18"/>
              </w:rPr>
            </w:pPr>
            <w:r w:rsidRPr="0079053B">
              <w:rPr>
                <w:sz w:val="18"/>
                <w:szCs w:val="18"/>
              </w:rPr>
              <w:t>4. Court Ordered Waivers</w:t>
            </w:r>
          </w:p>
          <w:p w:rsidR="00DA4145" w:rsidRPr="0079053B" w:rsidRDefault="00DA4145" w:rsidP="00D008CF">
            <w:pPr>
              <w:pStyle w:val="BodyText"/>
              <w:rPr>
                <w:sz w:val="18"/>
                <w:szCs w:val="18"/>
              </w:rPr>
            </w:pPr>
          </w:p>
        </w:tc>
        <w:tc>
          <w:tcPr>
            <w:tcW w:w="5296" w:type="dxa"/>
            <w:shd w:val="clear" w:color="auto" w:fill="auto"/>
          </w:tcPr>
          <w:p w:rsidR="00DA4145" w:rsidRPr="0079053B" w:rsidRDefault="002626A7" w:rsidP="002626A7">
            <w:pPr>
              <w:pStyle w:val="BodyText"/>
              <w:rPr>
                <w:sz w:val="18"/>
                <w:szCs w:val="18"/>
              </w:rPr>
            </w:pPr>
            <w:r w:rsidRPr="0079053B">
              <w:rPr>
                <w:sz w:val="18"/>
                <w:szCs w:val="18"/>
              </w:rPr>
              <w:t xml:space="preserve">Yes. </w:t>
            </w:r>
            <w:r w:rsidR="00DA4145" w:rsidRPr="0079053B">
              <w:rPr>
                <w:sz w:val="18"/>
                <w:szCs w:val="18"/>
              </w:rPr>
              <w:t xml:space="preserve">The Assistant Commissioner for CPS may approve the decision to require the completion of background checks </w:t>
            </w:r>
            <w:r w:rsidR="007138EE" w:rsidRPr="0079053B">
              <w:rPr>
                <w:sz w:val="18"/>
                <w:szCs w:val="18"/>
              </w:rPr>
              <w:t xml:space="preserve">through DFPS </w:t>
            </w:r>
            <w:r w:rsidR="00DA4145" w:rsidRPr="0079053B">
              <w:rPr>
                <w:sz w:val="18"/>
                <w:szCs w:val="18"/>
              </w:rPr>
              <w:t xml:space="preserve">for particular types of child specific contractors such as HCS facilities, or for an individual child specific contract.  Requests to require background checks for specific contractors </w:t>
            </w:r>
            <w:r w:rsidR="007138EE" w:rsidRPr="0079053B">
              <w:rPr>
                <w:sz w:val="18"/>
                <w:szCs w:val="18"/>
              </w:rPr>
              <w:t xml:space="preserve">should </w:t>
            </w:r>
            <w:r w:rsidR="00DA4145" w:rsidRPr="0079053B">
              <w:rPr>
                <w:sz w:val="18"/>
                <w:szCs w:val="18"/>
              </w:rPr>
              <w:t>be obtained by Action Memo directed to the Assistant Commissioner for CPS.</w:t>
            </w:r>
          </w:p>
          <w:p w:rsidR="002626A7" w:rsidRPr="0079053B" w:rsidRDefault="002626A7" w:rsidP="00D008CF">
            <w:pPr>
              <w:rPr>
                <w:rFonts w:ascii="Arial" w:hAnsi="Arial" w:cs="Arial"/>
                <w:sz w:val="18"/>
                <w:szCs w:val="18"/>
              </w:rPr>
            </w:pPr>
          </w:p>
          <w:p w:rsidR="00E26CD9" w:rsidRDefault="002626A7" w:rsidP="00E26CD9">
            <w:pPr>
              <w:rPr>
                <w:rFonts w:ascii="Arial" w:hAnsi="Arial" w:cs="Arial"/>
                <w:sz w:val="18"/>
                <w:szCs w:val="18"/>
              </w:rPr>
            </w:pPr>
            <w:r w:rsidRPr="0079053B">
              <w:rPr>
                <w:rFonts w:ascii="Arial" w:hAnsi="Arial" w:cs="Arial"/>
                <w:sz w:val="18"/>
                <w:szCs w:val="18"/>
              </w:rPr>
              <w:t xml:space="preserve">Contractors have background checks completed by other operations, either required by the entity, the State, or license type.  </w:t>
            </w:r>
          </w:p>
          <w:p w:rsidR="002626A7" w:rsidRPr="00E26CD9" w:rsidRDefault="002626A7" w:rsidP="00E26CD9">
            <w:pPr>
              <w:rPr>
                <w:rFonts w:ascii="Arial" w:hAnsi="Arial" w:cs="Arial"/>
                <w:sz w:val="18"/>
                <w:szCs w:val="18"/>
              </w:rPr>
            </w:pPr>
          </w:p>
        </w:tc>
      </w:tr>
      <w:tr w:rsidR="00DA4145" w:rsidRPr="0079053B" w:rsidTr="0079053B">
        <w:tblPrEx>
          <w:tblLook w:val="01E0" w:firstRow="1" w:lastRow="1" w:firstColumn="1" w:lastColumn="1" w:noHBand="0" w:noVBand="0"/>
        </w:tblPrEx>
        <w:trPr>
          <w:trHeight w:val="224"/>
        </w:trPr>
        <w:tc>
          <w:tcPr>
            <w:tcW w:w="1472" w:type="dxa"/>
            <w:shd w:val="clear" w:color="auto" w:fill="auto"/>
          </w:tcPr>
          <w:p w:rsidR="00DA4145" w:rsidRPr="0079053B" w:rsidRDefault="00DA4145" w:rsidP="00D008CF">
            <w:pPr>
              <w:pStyle w:val="BodyText"/>
              <w:rPr>
                <w:sz w:val="20"/>
              </w:rPr>
            </w:pPr>
            <w:r w:rsidRPr="0079053B">
              <w:rPr>
                <w:sz w:val="20"/>
              </w:rPr>
              <w:t>CPS - Administrative Contract</w:t>
            </w:r>
          </w:p>
        </w:tc>
        <w:tc>
          <w:tcPr>
            <w:tcW w:w="2412" w:type="dxa"/>
            <w:shd w:val="clear" w:color="auto" w:fill="auto"/>
          </w:tcPr>
          <w:p w:rsidR="00DA4145" w:rsidRPr="0079053B" w:rsidRDefault="00DA4145" w:rsidP="00D008CF">
            <w:pPr>
              <w:rPr>
                <w:rFonts w:ascii="Arial" w:hAnsi="Arial" w:cs="Arial"/>
                <w:sz w:val="18"/>
                <w:szCs w:val="18"/>
              </w:rPr>
            </w:pPr>
            <w:r w:rsidRPr="0079053B">
              <w:rPr>
                <w:rFonts w:ascii="Arial" w:hAnsi="Arial" w:cs="Arial"/>
                <w:sz w:val="18"/>
                <w:szCs w:val="18"/>
              </w:rPr>
              <w:t>Title IV-E (Legal) Funded Services</w:t>
            </w:r>
          </w:p>
          <w:p w:rsidR="00DA4145" w:rsidRPr="0079053B" w:rsidRDefault="00DA4145" w:rsidP="00D008CF">
            <w:pPr>
              <w:pStyle w:val="BodyText"/>
              <w:rPr>
                <w:b/>
                <w:sz w:val="18"/>
                <w:szCs w:val="18"/>
              </w:rPr>
            </w:pPr>
          </w:p>
        </w:tc>
        <w:tc>
          <w:tcPr>
            <w:tcW w:w="4320" w:type="dxa"/>
            <w:shd w:val="clear" w:color="auto" w:fill="auto"/>
          </w:tcPr>
          <w:p w:rsidR="00DA4145" w:rsidRPr="0079053B" w:rsidRDefault="00DA4145" w:rsidP="00D008CF">
            <w:pPr>
              <w:rPr>
                <w:rFonts w:ascii="Arial" w:hAnsi="Arial" w:cs="Arial"/>
                <w:sz w:val="18"/>
                <w:szCs w:val="18"/>
              </w:rPr>
            </w:pPr>
            <w:r w:rsidRPr="0079053B">
              <w:rPr>
                <w:rFonts w:ascii="Arial" w:hAnsi="Arial" w:cs="Arial"/>
                <w:sz w:val="18"/>
                <w:szCs w:val="18"/>
              </w:rPr>
              <w:t>A contract with a county government to reimburse the county for eligible Title IV-E legal expenses.</w:t>
            </w:r>
          </w:p>
          <w:p w:rsidR="00DA4145" w:rsidRPr="0079053B" w:rsidRDefault="00DA4145" w:rsidP="00D008CF">
            <w:pPr>
              <w:pStyle w:val="BodyText"/>
              <w:rPr>
                <w:b/>
                <w:sz w:val="18"/>
                <w:szCs w:val="18"/>
              </w:rPr>
            </w:pPr>
          </w:p>
        </w:tc>
        <w:tc>
          <w:tcPr>
            <w:tcW w:w="5296" w:type="dxa"/>
            <w:shd w:val="clear" w:color="auto" w:fill="auto"/>
          </w:tcPr>
          <w:p w:rsidR="00DA4145" w:rsidRPr="0079053B" w:rsidRDefault="00DA4145" w:rsidP="00D008CF">
            <w:pPr>
              <w:pStyle w:val="BodyText"/>
              <w:rPr>
                <w:sz w:val="18"/>
                <w:szCs w:val="18"/>
              </w:rPr>
            </w:pPr>
            <w:r w:rsidRPr="0079053B">
              <w:rPr>
                <w:sz w:val="18"/>
                <w:szCs w:val="18"/>
              </w:rPr>
              <w:t xml:space="preserve">No. </w:t>
            </w:r>
          </w:p>
        </w:tc>
      </w:tr>
      <w:tr w:rsidR="00DA4145" w:rsidRPr="0079053B" w:rsidTr="0079053B">
        <w:tblPrEx>
          <w:tblLook w:val="01E0" w:firstRow="1" w:lastRow="1" w:firstColumn="1" w:lastColumn="1" w:noHBand="0" w:noVBand="0"/>
        </w:tblPrEx>
        <w:tc>
          <w:tcPr>
            <w:tcW w:w="1472" w:type="dxa"/>
            <w:shd w:val="clear" w:color="auto" w:fill="auto"/>
          </w:tcPr>
          <w:p w:rsidR="00DA4145" w:rsidRPr="0079053B" w:rsidRDefault="00DA4145" w:rsidP="00D008CF">
            <w:pPr>
              <w:pStyle w:val="BodyText"/>
              <w:rPr>
                <w:sz w:val="20"/>
              </w:rPr>
            </w:pPr>
            <w:r w:rsidRPr="0079053B">
              <w:rPr>
                <w:sz w:val="20"/>
              </w:rPr>
              <w:lastRenderedPageBreak/>
              <w:t>CPS - Administrative Contract</w:t>
            </w:r>
          </w:p>
        </w:tc>
        <w:tc>
          <w:tcPr>
            <w:tcW w:w="2412" w:type="dxa"/>
            <w:shd w:val="clear" w:color="auto" w:fill="auto"/>
          </w:tcPr>
          <w:p w:rsidR="00DA4145" w:rsidRPr="0079053B" w:rsidRDefault="00DA4145" w:rsidP="00D008CF">
            <w:pPr>
              <w:rPr>
                <w:rFonts w:ascii="Arial" w:hAnsi="Arial" w:cs="Arial"/>
                <w:sz w:val="18"/>
                <w:szCs w:val="18"/>
              </w:rPr>
            </w:pPr>
            <w:r w:rsidRPr="0079053B">
              <w:rPr>
                <w:rFonts w:ascii="Arial" w:hAnsi="Arial" w:cs="Arial"/>
                <w:sz w:val="18"/>
                <w:szCs w:val="18"/>
              </w:rPr>
              <w:t>Title IV-E (Child Welfare - Financial) Funded Services</w:t>
            </w:r>
          </w:p>
          <w:p w:rsidR="00DA4145" w:rsidRPr="0079053B" w:rsidRDefault="00DA4145" w:rsidP="00D008CF">
            <w:pPr>
              <w:pStyle w:val="BodyText"/>
              <w:rPr>
                <w:b/>
                <w:sz w:val="18"/>
                <w:szCs w:val="18"/>
              </w:rPr>
            </w:pPr>
          </w:p>
        </w:tc>
        <w:tc>
          <w:tcPr>
            <w:tcW w:w="4320" w:type="dxa"/>
            <w:shd w:val="clear" w:color="auto" w:fill="auto"/>
          </w:tcPr>
          <w:p w:rsidR="00DA4145" w:rsidRDefault="00DA4145" w:rsidP="00D008CF">
            <w:pPr>
              <w:pStyle w:val="BodyText"/>
              <w:rPr>
                <w:sz w:val="18"/>
                <w:szCs w:val="18"/>
              </w:rPr>
            </w:pPr>
            <w:r w:rsidRPr="0079053B">
              <w:rPr>
                <w:sz w:val="18"/>
                <w:szCs w:val="18"/>
              </w:rPr>
              <w:t>A contract with a county government to establish and maintain a child welfare board and reimburse that county for eligible Title IV-E expenditures for the child welfare board and/or foster children.</w:t>
            </w:r>
          </w:p>
          <w:p w:rsidR="00E26CD9" w:rsidRPr="0079053B" w:rsidRDefault="00E26CD9" w:rsidP="00D008CF">
            <w:pPr>
              <w:pStyle w:val="BodyText"/>
              <w:rPr>
                <w:b/>
                <w:sz w:val="18"/>
                <w:szCs w:val="18"/>
              </w:rPr>
            </w:pPr>
          </w:p>
        </w:tc>
        <w:tc>
          <w:tcPr>
            <w:tcW w:w="5296" w:type="dxa"/>
            <w:shd w:val="clear" w:color="auto" w:fill="auto"/>
          </w:tcPr>
          <w:p w:rsidR="00DA4145" w:rsidRPr="0079053B" w:rsidRDefault="00D32DD4" w:rsidP="00D008CF">
            <w:pPr>
              <w:pStyle w:val="BodyText"/>
              <w:rPr>
                <w:sz w:val="18"/>
                <w:szCs w:val="18"/>
              </w:rPr>
            </w:pPr>
            <w:r w:rsidRPr="0079053B">
              <w:rPr>
                <w:sz w:val="18"/>
                <w:szCs w:val="18"/>
              </w:rPr>
              <w:t xml:space="preserve">Yes. </w:t>
            </w:r>
            <w:r w:rsidR="00DA4145" w:rsidRPr="0079053B">
              <w:rPr>
                <w:sz w:val="18"/>
                <w:szCs w:val="18"/>
              </w:rPr>
              <w:t xml:space="preserve">If volunteers have regular access to clients, a background check is required through the </w:t>
            </w:r>
            <w:hyperlink r:id="rId7" w:anchor="VCE_6400" w:history="1">
              <w:r w:rsidR="00DA4145" w:rsidRPr="0079053B">
                <w:rPr>
                  <w:rStyle w:val="Hyperlink"/>
                  <w:sz w:val="18"/>
                  <w:szCs w:val="18"/>
                </w:rPr>
                <w:t>DFPS Volunteer and Community Engagement Policy Handbook, 6400 Background Checks.</w:t>
              </w:r>
            </w:hyperlink>
          </w:p>
        </w:tc>
      </w:tr>
      <w:tr w:rsidR="00660003" w:rsidRPr="0079053B" w:rsidTr="00F42FB5">
        <w:tblPrEx>
          <w:tblLook w:val="01E0" w:firstRow="1" w:lastRow="1" w:firstColumn="1" w:lastColumn="1" w:noHBand="0" w:noVBand="0"/>
        </w:tblPrEx>
        <w:trPr>
          <w:cantSplit/>
          <w:trHeight w:val="962"/>
        </w:trPr>
        <w:tc>
          <w:tcPr>
            <w:tcW w:w="1472" w:type="dxa"/>
            <w:shd w:val="clear" w:color="auto" w:fill="auto"/>
          </w:tcPr>
          <w:p w:rsidR="00660003" w:rsidRPr="0079053B" w:rsidRDefault="00660003" w:rsidP="00D008CF">
            <w:pPr>
              <w:pStyle w:val="BodyText"/>
              <w:rPr>
                <w:sz w:val="20"/>
              </w:rPr>
            </w:pPr>
            <w:r w:rsidRPr="0079053B">
              <w:rPr>
                <w:sz w:val="20"/>
              </w:rPr>
              <w:t>Residential Services</w:t>
            </w:r>
          </w:p>
        </w:tc>
        <w:tc>
          <w:tcPr>
            <w:tcW w:w="2412" w:type="dxa"/>
            <w:shd w:val="clear" w:color="auto" w:fill="auto"/>
          </w:tcPr>
          <w:p w:rsidR="00660003" w:rsidRPr="0079053B" w:rsidRDefault="004B2725">
            <w:pPr>
              <w:rPr>
                <w:rFonts w:ascii="Arial" w:hAnsi="Arial" w:cs="Arial"/>
                <w:sz w:val="18"/>
                <w:szCs w:val="18"/>
              </w:rPr>
            </w:pPr>
            <w:r>
              <w:rPr>
                <w:rFonts w:ascii="Arial" w:hAnsi="Arial" w:cs="Arial"/>
                <w:sz w:val="18"/>
                <w:szCs w:val="18"/>
              </w:rPr>
              <w:t>Paid s</w:t>
            </w:r>
            <w:r w:rsidR="00F34F66" w:rsidRPr="0079053B">
              <w:rPr>
                <w:rFonts w:ascii="Arial" w:hAnsi="Arial" w:cs="Arial"/>
                <w:sz w:val="18"/>
                <w:szCs w:val="18"/>
              </w:rPr>
              <w:t>ubstitute care services to children in DFPS custody.</w:t>
            </w:r>
          </w:p>
        </w:tc>
        <w:tc>
          <w:tcPr>
            <w:tcW w:w="4320" w:type="dxa"/>
            <w:shd w:val="clear" w:color="auto" w:fill="auto"/>
          </w:tcPr>
          <w:p w:rsidR="00660003" w:rsidRPr="0079053B" w:rsidRDefault="00F34F66" w:rsidP="00D008CF">
            <w:pPr>
              <w:pStyle w:val="BodyText"/>
              <w:rPr>
                <w:sz w:val="18"/>
                <w:szCs w:val="18"/>
              </w:rPr>
            </w:pPr>
            <w:r w:rsidRPr="0079053B">
              <w:rPr>
                <w:sz w:val="18"/>
                <w:szCs w:val="18"/>
              </w:rPr>
              <w:t xml:space="preserve">These include residential treatment centers, child placing agencies, general residential operations. </w:t>
            </w:r>
          </w:p>
        </w:tc>
        <w:tc>
          <w:tcPr>
            <w:tcW w:w="5296" w:type="dxa"/>
            <w:shd w:val="clear" w:color="auto" w:fill="auto"/>
          </w:tcPr>
          <w:p w:rsidR="00EA39D4" w:rsidRDefault="00852A53" w:rsidP="00E26CD9">
            <w:pPr>
              <w:pStyle w:val="BodyText"/>
              <w:rPr>
                <w:sz w:val="18"/>
                <w:szCs w:val="18"/>
              </w:rPr>
            </w:pPr>
            <w:r w:rsidRPr="0079053B">
              <w:rPr>
                <w:sz w:val="18"/>
                <w:szCs w:val="18"/>
              </w:rPr>
              <w:t xml:space="preserve">Yes. </w:t>
            </w:r>
            <w:r w:rsidR="00E26CD9" w:rsidRPr="0079053B">
              <w:rPr>
                <w:sz w:val="18"/>
                <w:szCs w:val="18"/>
              </w:rPr>
              <w:t xml:space="preserve">Due to the additional financial and management responsibilities assigned to principals on the contract, </w:t>
            </w:r>
            <w:r w:rsidR="00E26CD9" w:rsidRPr="0079053B">
              <w:rPr>
                <w:b/>
                <w:i/>
                <w:sz w:val="18"/>
                <w:szCs w:val="18"/>
              </w:rPr>
              <w:t xml:space="preserve">persons </w:t>
            </w:r>
            <w:r w:rsidR="00E26CD9">
              <w:rPr>
                <w:b/>
                <w:i/>
                <w:sz w:val="18"/>
                <w:szCs w:val="18"/>
              </w:rPr>
              <w:t>identified as a principal on the contract</w:t>
            </w:r>
            <w:r w:rsidR="00E26CD9" w:rsidRPr="0079053B">
              <w:rPr>
                <w:b/>
                <w:i/>
                <w:sz w:val="18"/>
                <w:szCs w:val="18"/>
              </w:rPr>
              <w:t xml:space="preserve"> MUST complete the PCS background checks</w:t>
            </w:r>
            <w:r w:rsidR="00E26CD9" w:rsidRPr="0079053B">
              <w:rPr>
                <w:sz w:val="18"/>
                <w:szCs w:val="18"/>
              </w:rPr>
              <w:t xml:space="preserve"> and will be held to the same standards as other PCS contractors.</w:t>
            </w:r>
            <w:r w:rsidR="00E26CD9">
              <w:rPr>
                <w:sz w:val="18"/>
                <w:szCs w:val="18"/>
              </w:rPr>
              <w:t xml:space="preserve">  </w:t>
            </w:r>
            <w:r w:rsidR="00363B5C">
              <w:rPr>
                <w:sz w:val="18"/>
                <w:szCs w:val="18"/>
              </w:rPr>
              <w:t xml:space="preserve">For all other </w:t>
            </w:r>
            <w:r w:rsidR="00451347">
              <w:rPr>
                <w:sz w:val="18"/>
                <w:szCs w:val="18"/>
              </w:rPr>
              <w:t>employees, subcontractors, and volunteers,</w:t>
            </w:r>
            <w:r w:rsidR="00363B5C">
              <w:rPr>
                <w:sz w:val="18"/>
                <w:szCs w:val="18"/>
              </w:rPr>
              <w:t xml:space="preserve"> th</w:t>
            </w:r>
            <w:r w:rsidR="00801306" w:rsidRPr="0079053B">
              <w:rPr>
                <w:sz w:val="18"/>
                <w:szCs w:val="18"/>
              </w:rPr>
              <w:t xml:space="preserve">ese contractors must </w:t>
            </w:r>
            <w:r w:rsidR="00363B5C">
              <w:rPr>
                <w:sz w:val="18"/>
                <w:szCs w:val="18"/>
              </w:rPr>
              <w:t xml:space="preserve">only </w:t>
            </w:r>
            <w:r w:rsidR="00801306" w:rsidRPr="0079053B">
              <w:rPr>
                <w:sz w:val="18"/>
                <w:szCs w:val="18"/>
              </w:rPr>
              <w:t>complete background check</w:t>
            </w:r>
            <w:r w:rsidR="00340350" w:rsidRPr="0079053B">
              <w:rPr>
                <w:sz w:val="18"/>
                <w:szCs w:val="18"/>
              </w:rPr>
              <w:t>s</w:t>
            </w:r>
            <w:r w:rsidR="00801306" w:rsidRPr="0079053B">
              <w:rPr>
                <w:sz w:val="18"/>
                <w:szCs w:val="18"/>
              </w:rPr>
              <w:t xml:space="preserve"> </w:t>
            </w:r>
            <w:r w:rsidR="00340350" w:rsidRPr="0079053B">
              <w:rPr>
                <w:sz w:val="18"/>
                <w:szCs w:val="18"/>
              </w:rPr>
              <w:t xml:space="preserve">as required </w:t>
            </w:r>
            <w:r w:rsidR="008F3473" w:rsidRPr="0079053B">
              <w:rPr>
                <w:sz w:val="18"/>
                <w:szCs w:val="18"/>
              </w:rPr>
              <w:t xml:space="preserve">by Child Care Licensing </w:t>
            </w:r>
            <w:r w:rsidR="00340350" w:rsidRPr="0079053B">
              <w:rPr>
                <w:sz w:val="18"/>
                <w:szCs w:val="18"/>
              </w:rPr>
              <w:t xml:space="preserve">under </w:t>
            </w:r>
            <w:hyperlink r:id="rId8" w:tgtFrame="_blank" w:history="1">
              <w:r w:rsidR="008F3473" w:rsidRPr="0079053B">
                <w:rPr>
                  <w:rStyle w:val="Hyperlink"/>
                  <w:sz w:val="18"/>
                  <w:szCs w:val="18"/>
                </w:rPr>
                <w:t>40 Texas Administrative Code Chapter 745, Subchapter F</w:t>
              </w:r>
            </w:hyperlink>
            <w:r w:rsidR="008F3473" w:rsidRPr="0079053B">
              <w:rPr>
                <w:sz w:val="18"/>
                <w:szCs w:val="18"/>
              </w:rPr>
              <w:t xml:space="preserve">.  </w:t>
            </w:r>
          </w:p>
          <w:p w:rsidR="00E26CD9" w:rsidRPr="0079053B" w:rsidRDefault="00E26CD9" w:rsidP="00E26CD9">
            <w:pPr>
              <w:pStyle w:val="BodyText"/>
              <w:rPr>
                <w:sz w:val="18"/>
                <w:szCs w:val="18"/>
              </w:rPr>
            </w:pPr>
          </w:p>
        </w:tc>
      </w:tr>
      <w:tr w:rsidR="006D7F45" w:rsidRPr="0079053B" w:rsidTr="0079053B">
        <w:tblPrEx>
          <w:tblLook w:val="01E0" w:firstRow="1" w:lastRow="1" w:firstColumn="1" w:lastColumn="1" w:noHBand="0" w:noVBand="0"/>
        </w:tblPrEx>
        <w:tc>
          <w:tcPr>
            <w:tcW w:w="1472" w:type="dxa"/>
            <w:shd w:val="clear" w:color="auto" w:fill="auto"/>
          </w:tcPr>
          <w:p w:rsidR="006D7F45" w:rsidRDefault="006D7F45" w:rsidP="00D008CF">
            <w:pPr>
              <w:pStyle w:val="BodyText"/>
              <w:rPr>
                <w:sz w:val="20"/>
              </w:rPr>
            </w:pPr>
            <w:r>
              <w:rPr>
                <w:sz w:val="20"/>
              </w:rPr>
              <w:t>Residential Services</w:t>
            </w:r>
          </w:p>
        </w:tc>
        <w:tc>
          <w:tcPr>
            <w:tcW w:w="2412" w:type="dxa"/>
            <w:shd w:val="clear" w:color="auto" w:fill="auto"/>
          </w:tcPr>
          <w:p w:rsidR="006D7F45" w:rsidRDefault="006D7F45" w:rsidP="00D008CF">
            <w:pPr>
              <w:rPr>
                <w:rFonts w:ascii="Arial" w:hAnsi="Arial" w:cs="Arial"/>
                <w:sz w:val="18"/>
                <w:szCs w:val="18"/>
              </w:rPr>
            </w:pPr>
            <w:r>
              <w:rPr>
                <w:rFonts w:ascii="Arial" w:hAnsi="Arial" w:cs="Arial"/>
                <w:sz w:val="18"/>
                <w:szCs w:val="18"/>
              </w:rPr>
              <w:t>Non-financial contracts for substitute care services to children in DFPS custody</w:t>
            </w:r>
          </w:p>
        </w:tc>
        <w:tc>
          <w:tcPr>
            <w:tcW w:w="4320" w:type="dxa"/>
            <w:shd w:val="clear" w:color="auto" w:fill="auto"/>
          </w:tcPr>
          <w:p w:rsidR="006D7F45" w:rsidRPr="0079053B" w:rsidRDefault="002B4CEB" w:rsidP="00D008CF">
            <w:pPr>
              <w:pStyle w:val="BodyText"/>
              <w:rPr>
                <w:sz w:val="18"/>
                <w:szCs w:val="18"/>
              </w:rPr>
            </w:pPr>
            <w:r w:rsidRPr="0079053B">
              <w:rPr>
                <w:sz w:val="18"/>
                <w:szCs w:val="18"/>
              </w:rPr>
              <w:t xml:space="preserve">These include residential treatment centers, child placing agencies, </w:t>
            </w:r>
            <w:r w:rsidR="005A344D">
              <w:rPr>
                <w:sz w:val="18"/>
                <w:szCs w:val="18"/>
              </w:rPr>
              <w:t xml:space="preserve">and </w:t>
            </w:r>
            <w:r w:rsidRPr="0079053B">
              <w:rPr>
                <w:sz w:val="18"/>
                <w:szCs w:val="18"/>
              </w:rPr>
              <w:t>general residential operations</w:t>
            </w:r>
            <w:r>
              <w:rPr>
                <w:sz w:val="18"/>
                <w:szCs w:val="18"/>
              </w:rPr>
              <w:t xml:space="preserve"> which do not receive payment for services</w:t>
            </w:r>
            <w:r w:rsidRPr="0079053B">
              <w:rPr>
                <w:sz w:val="18"/>
                <w:szCs w:val="18"/>
              </w:rPr>
              <w:t>.</w:t>
            </w:r>
          </w:p>
        </w:tc>
        <w:tc>
          <w:tcPr>
            <w:tcW w:w="5296" w:type="dxa"/>
            <w:shd w:val="clear" w:color="auto" w:fill="auto"/>
          </w:tcPr>
          <w:p w:rsidR="006D7F45" w:rsidRPr="0079053B" w:rsidRDefault="002B4CEB" w:rsidP="005A344D">
            <w:pPr>
              <w:pStyle w:val="BodyText"/>
              <w:rPr>
                <w:sz w:val="18"/>
                <w:szCs w:val="18"/>
              </w:rPr>
            </w:pPr>
            <w:r>
              <w:rPr>
                <w:sz w:val="18"/>
                <w:szCs w:val="18"/>
              </w:rPr>
              <w:t>Since t</w:t>
            </w:r>
            <w:r w:rsidR="006D7F45">
              <w:rPr>
                <w:sz w:val="18"/>
                <w:szCs w:val="18"/>
              </w:rPr>
              <w:t xml:space="preserve">hese contractors </w:t>
            </w:r>
            <w:r>
              <w:rPr>
                <w:sz w:val="18"/>
                <w:szCs w:val="18"/>
              </w:rPr>
              <w:t xml:space="preserve">do not receive funds for services, </w:t>
            </w:r>
            <w:r w:rsidR="006D7F45">
              <w:rPr>
                <w:sz w:val="18"/>
                <w:szCs w:val="18"/>
              </w:rPr>
              <w:t xml:space="preserve">only </w:t>
            </w:r>
            <w:r>
              <w:rPr>
                <w:sz w:val="18"/>
                <w:szCs w:val="18"/>
              </w:rPr>
              <w:t>the</w:t>
            </w:r>
            <w:r w:rsidR="006D7F45">
              <w:rPr>
                <w:sz w:val="18"/>
                <w:szCs w:val="18"/>
              </w:rPr>
              <w:t xml:space="preserve"> background checks as required by Child Care Licensing under </w:t>
            </w:r>
            <w:hyperlink r:id="rId9" w:tgtFrame="_blank" w:history="1">
              <w:r w:rsidR="006D7F45" w:rsidRPr="0079053B">
                <w:rPr>
                  <w:rStyle w:val="Hyperlink"/>
                  <w:sz w:val="18"/>
                  <w:szCs w:val="18"/>
                </w:rPr>
                <w:t>40 Texas Administrative Code Chapter 745, Subchapter F</w:t>
              </w:r>
            </w:hyperlink>
            <w:r>
              <w:rPr>
                <w:rStyle w:val="Hyperlink"/>
                <w:sz w:val="18"/>
                <w:szCs w:val="18"/>
              </w:rPr>
              <w:t xml:space="preserve"> are </w:t>
            </w:r>
            <w:r w:rsidR="005A344D">
              <w:rPr>
                <w:rStyle w:val="Hyperlink"/>
                <w:sz w:val="18"/>
                <w:szCs w:val="18"/>
              </w:rPr>
              <w:t>required</w:t>
            </w:r>
            <w:r w:rsidR="006D7F45" w:rsidRPr="0079053B">
              <w:rPr>
                <w:sz w:val="18"/>
                <w:szCs w:val="18"/>
              </w:rPr>
              <w:t>.</w:t>
            </w:r>
          </w:p>
        </w:tc>
      </w:tr>
      <w:tr w:rsidR="00EE41E6" w:rsidRPr="0079053B" w:rsidTr="0079053B">
        <w:tblPrEx>
          <w:tblLook w:val="01E0" w:firstRow="1" w:lastRow="1" w:firstColumn="1" w:lastColumn="1" w:noHBand="0" w:noVBand="0"/>
        </w:tblPrEx>
        <w:tc>
          <w:tcPr>
            <w:tcW w:w="1472" w:type="dxa"/>
            <w:shd w:val="clear" w:color="auto" w:fill="auto"/>
          </w:tcPr>
          <w:p w:rsidR="00EE41E6" w:rsidRPr="0079053B" w:rsidRDefault="00EE41E6" w:rsidP="00D008CF">
            <w:pPr>
              <w:pStyle w:val="BodyText"/>
              <w:rPr>
                <w:sz w:val="20"/>
              </w:rPr>
            </w:pPr>
            <w:r>
              <w:rPr>
                <w:sz w:val="20"/>
              </w:rPr>
              <w:t>Residential Services</w:t>
            </w:r>
          </w:p>
        </w:tc>
        <w:tc>
          <w:tcPr>
            <w:tcW w:w="2412" w:type="dxa"/>
            <w:shd w:val="clear" w:color="auto" w:fill="auto"/>
          </w:tcPr>
          <w:p w:rsidR="00EE41E6" w:rsidRPr="0079053B" w:rsidRDefault="00EE41E6" w:rsidP="00D008CF">
            <w:pPr>
              <w:rPr>
                <w:rFonts w:ascii="Arial" w:hAnsi="Arial" w:cs="Arial"/>
                <w:sz w:val="18"/>
                <w:szCs w:val="18"/>
              </w:rPr>
            </w:pPr>
            <w:r>
              <w:rPr>
                <w:rFonts w:ascii="Arial" w:hAnsi="Arial" w:cs="Arial"/>
                <w:sz w:val="18"/>
                <w:szCs w:val="18"/>
              </w:rPr>
              <w:t>Supervised Independent Living</w:t>
            </w:r>
          </w:p>
        </w:tc>
        <w:tc>
          <w:tcPr>
            <w:tcW w:w="4320" w:type="dxa"/>
            <w:shd w:val="clear" w:color="auto" w:fill="auto"/>
          </w:tcPr>
          <w:p w:rsidR="00EE41E6" w:rsidRPr="0079053B" w:rsidRDefault="002B4CEB" w:rsidP="005A344D">
            <w:pPr>
              <w:pStyle w:val="BodyText"/>
              <w:rPr>
                <w:sz w:val="18"/>
                <w:szCs w:val="18"/>
              </w:rPr>
            </w:pPr>
            <w:r>
              <w:rPr>
                <w:sz w:val="18"/>
                <w:szCs w:val="18"/>
              </w:rPr>
              <w:t>SIL provides</w:t>
            </w:r>
            <w:r w:rsidRPr="002B4CEB">
              <w:rPr>
                <w:sz w:val="18"/>
                <w:szCs w:val="18"/>
              </w:rPr>
              <w:t xml:space="preserve"> independent living in </w:t>
            </w:r>
            <w:r w:rsidR="005A344D">
              <w:rPr>
                <w:sz w:val="18"/>
                <w:szCs w:val="18"/>
              </w:rPr>
              <w:t>a</w:t>
            </w:r>
            <w:r w:rsidRPr="002B4CEB">
              <w:rPr>
                <w:sz w:val="18"/>
                <w:szCs w:val="18"/>
              </w:rPr>
              <w:t xml:space="preserve">partment, </w:t>
            </w:r>
            <w:r w:rsidR="005A344D">
              <w:rPr>
                <w:sz w:val="18"/>
                <w:szCs w:val="18"/>
              </w:rPr>
              <w:t>n</w:t>
            </w:r>
            <w:r w:rsidRPr="002B4CEB">
              <w:rPr>
                <w:sz w:val="18"/>
                <w:szCs w:val="18"/>
              </w:rPr>
              <w:t>on-</w:t>
            </w:r>
            <w:r w:rsidR="005A344D">
              <w:rPr>
                <w:sz w:val="18"/>
                <w:szCs w:val="18"/>
              </w:rPr>
              <w:t>c</w:t>
            </w:r>
            <w:r w:rsidRPr="002B4CEB">
              <w:rPr>
                <w:sz w:val="18"/>
                <w:szCs w:val="18"/>
              </w:rPr>
              <w:t xml:space="preserve">ollege </w:t>
            </w:r>
            <w:r w:rsidR="005A344D">
              <w:rPr>
                <w:sz w:val="18"/>
                <w:szCs w:val="18"/>
              </w:rPr>
              <w:t>d</w:t>
            </w:r>
            <w:r w:rsidRPr="002B4CEB">
              <w:rPr>
                <w:sz w:val="18"/>
                <w:szCs w:val="18"/>
              </w:rPr>
              <w:t xml:space="preserve">orm, </w:t>
            </w:r>
            <w:r w:rsidR="005A344D">
              <w:rPr>
                <w:sz w:val="18"/>
                <w:szCs w:val="18"/>
              </w:rPr>
              <w:t>co</w:t>
            </w:r>
            <w:r w:rsidRPr="002B4CEB">
              <w:rPr>
                <w:sz w:val="18"/>
                <w:szCs w:val="18"/>
              </w:rPr>
              <w:t xml:space="preserve">llege </w:t>
            </w:r>
            <w:r w:rsidR="005A344D">
              <w:rPr>
                <w:sz w:val="18"/>
                <w:szCs w:val="18"/>
              </w:rPr>
              <w:t>d</w:t>
            </w:r>
            <w:r w:rsidRPr="002B4CEB">
              <w:rPr>
                <w:sz w:val="18"/>
                <w:szCs w:val="18"/>
              </w:rPr>
              <w:t xml:space="preserve">orm, </w:t>
            </w:r>
            <w:r w:rsidR="005A344D">
              <w:rPr>
                <w:sz w:val="18"/>
                <w:szCs w:val="18"/>
              </w:rPr>
              <w:t>s</w:t>
            </w:r>
            <w:r w:rsidRPr="002B4CEB">
              <w:rPr>
                <w:sz w:val="18"/>
                <w:szCs w:val="18"/>
              </w:rPr>
              <w:t xml:space="preserve">hared </w:t>
            </w:r>
            <w:r w:rsidR="005A344D">
              <w:rPr>
                <w:sz w:val="18"/>
                <w:szCs w:val="18"/>
              </w:rPr>
              <w:t>h</w:t>
            </w:r>
            <w:r w:rsidRPr="002B4CEB">
              <w:rPr>
                <w:sz w:val="18"/>
                <w:szCs w:val="18"/>
              </w:rPr>
              <w:t xml:space="preserve">ousing, and </w:t>
            </w:r>
            <w:r w:rsidR="005A344D">
              <w:rPr>
                <w:sz w:val="18"/>
                <w:szCs w:val="18"/>
              </w:rPr>
              <w:t>h</w:t>
            </w:r>
            <w:r w:rsidRPr="002B4CEB">
              <w:rPr>
                <w:sz w:val="18"/>
                <w:szCs w:val="18"/>
              </w:rPr>
              <w:t xml:space="preserve">ost </w:t>
            </w:r>
            <w:r w:rsidR="005A344D">
              <w:rPr>
                <w:sz w:val="18"/>
                <w:szCs w:val="18"/>
              </w:rPr>
              <w:t>h</w:t>
            </w:r>
            <w:r w:rsidRPr="002B4CEB">
              <w:rPr>
                <w:sz w:val="18"/>
                <w:szCs w:val="18"/>
              </w:rPr>
              <w:t xml:space="preserve">ome </w:t>
            </w:r>
            <w:r w:rsidR="005A344D">
              <w:rPr>
                <w:sz w:val="18"/>
                <w:szCs w:val="18"/>
              </w:rPr>
              <w:t>s</w:t>
            </w:r>
            <w:r w:rsidRPr="002B4CEB">
              <w:rPr>
                <w:sz w:val="18"/>
                <w:szCs w:val="18"/>
              </w:rPr>
              <w:t xml:space="preserve">ettings for </w:t>
            </w:r>
            <w:r w:rsidR="005A344D">
              <w:rPr>
                <w:sz w:val="18"/>
                <w:szCs w:val="18"/>
              </w:rPr>
              <w:t>y</w:t>
            </w:r>
            <w:r w:rsidRPr="002B4CEB">
              <w:rPr>
                <w:sz w:val="18"/>
                <w:szCs w:val="18"/>
              </w:rPr>
              <w:t xml:space="preserve">oung </w:t>
            </w:r>
            <w:r w:rsidR="005A344D">
              <w:rPr>
                <w:sz w:val="18"/>
                <w:szCs w:val="18"/>
              </w:rPr>
              <w:t>a</w:t>
            </w:r>
            <w:r w:rsidRPr="002B4CEB">
              <w:rPr>
                <w:sz w:val="18"/>
                <w:szCs w:val="18"/>
              </w:rPr>
              <w:t>dults</w:t>
            </w:r>
            <w:r w:rsidR="005A344D">
              <w:rPr>
                <w:sz w:val="18"/>
                <w:szCs w:val="18"/>
              </w:rPr>
              <w:t xml:space="preserve"> (ages 18-22)</w:t>
            </w:r>
            <w:r w:rsidRPr="002B4CEB">
              <w:rPr>
                <w:sz w:val="18"/>
                <w:szCs w:val="18"/>
              </w:rPr>
              <w:t xml:space="preserve"> in Extended Foster Care</w:t>
            </w:r>
            <w:r w:rsidR="005A344D">
              <w:rPr>
                <w:sz w:val="18"/>
                <w:szCs w:val="18"/>
              </w:rPr>
              <w:t xml:space="preserve">.  Young adults in these settings are provided </w:t>
            </w:r>
            <w:r w:rsidRPr="002B4CEB">
              <w:rPr>
                <w:sz w:val="18"/>
                <w:szCs w:val="18"/>
              </w:rPr>
              <w:t xml:space="preserve">minimal supervision and </w:t>
            </w:r>
            <w:r w:rsidR="005A344D">
              <w:rPr>
                <w:sz w:val="18"/>
                <w:szCs w:val="18"/>
              </w:rPr>
              <w:t>c</w:t>
            </w:r>
            <w:r w:rsidRPr="002B4CEB">
              <w:rPr>
                <w:sz w:val="18"/>
                <w:szCs w:val="18"/>
              </w:rPr>
              <w:t xml:space="preserve">ase </w:t>
            </w:r>
            <w:r w:rsidR="005A344D">
              <w:rPr>
                <w:sz w:val="18"/>
                <w:szCs w:val="18"/>
              </w:rPr>
              <w:t>m</w:t>
            </w:r>
            <w:r w:rsidRPr="002B4CEB">
              <w:rPr>
                <w:sz w:val="18"/>
                <w:szCs w:val="18"/>
              </w:rPr>
              <w:t>anagement</w:t>
            </w:r>
            <w:r w:rsidR="005A344D">
              <w:rPr>
                <w:sz w:val="18"/>
                <w:szCs w:val="18"/>
              </w:rPr>
              <w:t xml:space="preserve"> services</w:t>
            </w:r>
            <w:r w:rsidRPr="002B4CEB">
              <w:rPr>
                <w:sz w:val="18"/>
                <w:szCs w:val="18"/>
              </w:rPr>
              <w:t xml:space="preserve">, allowing them to practice necessary </w:t>
            </w:r>
            <w:r w:rsidR="005A344D">
              <w:rPr>
                <w:sz w:val="18"/>
                <w:szCs w:val="18"/>
              </w:rPr>
              <w:t>i</w:t>
            </w:r>
            <w:r w:rsidRPr="002B4CEB">
              <w:rPr>
                <w:sz w:val="18"/>
                <w:szCs w:val="18"/>
              </w:rPr>
              <w:t xml:space="preserve">ndependent </w:t>
            </w:r>
            <w:r w:rsidR="005A344D">
              <w:rPr>
                <w:sz w:val="18"/>
                <w:szCs w:val="18"/>
              </w:rPr>
              <w:t>l</w:t>
            </w:r>
            <w:r w:rsidRPr="002B4CEB">
              <w:rPr>
                <w:sz w:val="18"/>
                <w:szCs w:val="18"/>
              </w:rPr>
              <w:t xml:space="preserve">iving </w:t>
            </w:r>
            <w:r w:rsidR="005A344D">
              <w:rPr>
                <w:sz w:val="18"/>
                <w:szCs w:val="18"/>
              </w:rPr>
              <w:t>s</w:t>
            </w:r>
            <w:r w:rsidRPr="002B4CEB">
              <w:rPr>
                <w:sz w:val="18"/>
                <w:szCs w:val="18"/>
              </w:rPr>
              <w:t>kills and achieve self-sufficiency in a supportive environment.</w:t>
            </w:r>
          </w:p>
        </w:tc>
        <w:tc>
          <w:tcPr>
            <w:tcW w:w="5296" w:type="dxa"/>
            <w:shd w:val="clear" w:color="auto" w:fill="auto"/>
          </w:tcPr>
          <w:p w:rsidR="00E26CD9" w:rsidRPr="0079053B" w:rsidRDefault="00EE41E6" w:rsidP="00F05B43">
            <w:pPr>
              <w:pStyle w:val="BodyText"/>
              <w:rPr>
                <w:sz w:val="18"/>
                <w:szCs w:val="18"/>
              </w:rPr>
            </w:pPr>
            <w:r w:rsidRPr="0079053B">
              <w:rPr>
                <w:sz w:val="18"/>
                <w:szCs w:val="18"/>
              </w:rPr>
              <w:t xml:space="preserve">If the </w:t>
            </w:r>
            <w:r w:rsidR="009703D3">
              <w:rPr>
                <w:sz w:val="18"/>
                <w:szCs w:val="18"/>
              </w:rPr>
              <w:t xml:space="preserve">residential services </w:t>
            </w:r>
            <w:r w:rsidRPr="0079053B">
              <w:rPr>
                <w:sz w:val="18"/>
                <w:szCs w:val="18"/>
              </w:rPr>
              <w:t xml:space="preserve">provider </w:t>
            </w:r>
            <w:r>
              <w:rPr>
                <w:sz w:val="18"/>
                <w:szCs w:val="18"/>
              </w:rPr>
              <w:t>is</w:t>
            </w:r>
            <w:r w:rsidRPr="0079053B">
              <w:rPr>
                <w:sz w:val="18"/>
                <w:szCs w:val="18"/>
              </w:rPr>
              <w:t xml:space="preserve"> </w:t>
            </w:r>
            <w:r w:rsidR="009703D3">
              <w:rPr>
                <w:sz w:val="18"/>
                <w:szCs w:val="18"/>
              </w:rPr>
              <w:t xml:space="preserve">also </w:t>
            </w:r>
            <w:r w:rsidRPr="0079053B">
              <w:rPr>
                <w:sz w:val="18"/>
                <w:szCs w:val="18"/>
              </w:rPr>
              <w:t>contracted with DFPS to provide Supervised Independent Living services to young adults, background checks must be conducted on this contractor’s employees, subcontractors, and volunteers as outlined in</w:t>
            </w:r>
            <w:r w:rsidR="00F05B43">
              <w:rPr>
                <w:sz w:val="18"/>
                <w:szCs w:val="18"/>
              </w:rPr>
              <w:t xml:space="preserve"> </w:t>
            </w:r>
            <w:hyperlink r:id="rId10" w:anchor="CBCU_2340" w:history="1">
              <w:r w:rsidR="00F05B43" w:rsidRPr="00F05B43">
                <w:rPr>
                  <w:rStyle w:val="Hyperlink"/>
                  <w:sz w:val="18"/>
                  <w:szCs w:val="18"/>
                </w:rPr>
                <w:t>2340</w:t>
              </w:r>
            </w:hyperlink>
            <w:bookmarkStart w:id="0" w:name="_GoBack"/>
            <w:bookmarkEnd w:id="0"/>
            <w:r w:rsidR="00F05B43" w:rsidRPr="00F05B43">
              <w:rPr>
                <w:sz w:val="18"/>
                <w:szCs w:val="18"/>
              </w:rPr>
              <w:t xml:space="preserve"> Background Checks for Residential Operations Regulated by Child Care Licensing</w:t>
            </w:r>
            <w:r w:rsidR="00F05B43">
              <w:rPr>
                <w:sz w:val="18"/>
                <w:szCs w:val="18"/>
              </w:rPr>
              <w:t>.</w:t>
            </w:r>
          </w:p>
        </w:tc>
      </w:tr>
      <w:tr w:rsidR="00DA4145" w:rsidRPr="0079053B" w:rsidTr="0079053B">
        <w:tblPrEx>
          <w:tblLook w:val="01E0" w:firstRow="1" w:lastRow="1" w:firstColumn="1" w:lastColumn="1" w:noHBand="0" w:noVBand="0"/>
        </w:tblPrEx>
        <w:tc>
          <w:tcPr>
            <w:tcW w:w="1472" w:type="dxa"/>
            <w:shd w:val="clear" w:color="auto" w:fill="auto"/>
          </w:tcPr>
          <w:p w:rsidR="00DA4145" w:rsidRPr="0079053B" w:rsidRDefault="00DA4145" w:rsidP="00D008CF">
            <w:pPr>
              <w:pStyle w:val="BodyText"/>
              <w:rPr>
                <w:sz w:val="20"/>
              </w:rPr>
            </w:pPr>
            <w:r w:rsidRPr="0079053B">
              <w:rPr>
                <w:sz w:val="20"/>
              </w:rPr>
              <w:t>CPS and PEI</w:t>
            </w:r>
          </w:p>
        </w:tc>
        <w:tc>
          <w:tcPr>
            <w:tcW w:w="2412" w:type="dxa"/>
            <w:shd w:val="clear" w:color="auto" w:fill="auto"/>
          </w:tcPr>
          <w:p w:rsidR="00DA4145" w:rsidRPr="0079053B" w:rsidRDefault="00A73EDC" w:rsidP="00D008CF">
            <w:pPr>
              <w:rPr>
                <w:rFonts w:ascii="Arial" w:hAnsi="Arial" w:cs="Arial"/>
                <w:i/>
                <w:sz w:val="18"/>
                <w:szCs w:val="18"/>
              </w:rPr>
            </w:pPr>
            <w:r w:rsidRPr="0079053B">
              <w:rPr>
                <w:rFonts w:ascii="Arial" w:hAnsi="Arial" w:cs="Arial"/>
                <w:sz w:val="18"/>
                <w:szCs w:val="18"/>
              </w:rPr>
              <w:t>Vari</w:t>
            </w:r>
            <w:r w:rsidR="00451347">
              <w:rPr>
                <w:rFonts w:ascii="Arial" w:hAnsi="Arial" w:cs="Arial"/>
                <w:sz w:val="18"/>
                <w:szCs w:val="18"/>
              </w:rPr>
              <w:t>ous client services</w:t>
            </w:r>
          </w:p>
        </w:tc>
        <w:tc>
          <w:tcPr>
            <w:tcW w:w="4320" w:type="dxa"/>
            <w:shd w:val="clear" w:color="auto" w:fill="auto"/>
          </w:tcPr>
          <w:p w:rsidR="00DA4145" w:rsidRPr="0079053B" w:rsidRDefault="00A73EDC" w:rsidP="00D008CF">
            <w:pPr>
              <w:pStyle w:val="BodyText"/>
              <w:rPr>
                <w:sz w:val="18"/>
                <w:szCs w:val="18"/>
              </w:rPr>
            </w:pPr>
            <w:r w:rsidRPr="0079053B">
              <w:rPr>
                <w:sz w:val="18"/>
                <w:szCs w:val="18"/>
              </w:rPr>
              <w:t xml:space="preserve">A </w:t>
            </w:r>
            <w:r w:rsidR="00D008CF" w:rsidRPr="0079053B">
              <w:rPr>
                <w:sz w:val="18"/>
                <w:szCs w:val="18"/>
              </w:rPr>
              <w:t>residential services contract</w:t>
            </w:r>
            <w:r w:rsidRPr="0079053B">
              <w:rPr>
                <w:sz w:val="18"/>
                <w:szCs w:val="18"/>
              </w:rPr>
              <w:t>or who also has additional client-services contracts</w:t>
            </w:r>
            <w:r w:rsidR="00D008CF" w:rsidRPr="0079053B">
              <w:rPr>
                <w:sz w:val="18"/>
                <w:szCs w:val="18"/>
              </w:rPr>
              <w:t xml:space="preserve">.  For example: </w:t>
            </w:r>
            <w:r w:rsidR="00DA4145" w:rsidRPr="0079053B">
              <w:rPr>
                <w:sz w:val="18"/>
                <w:szCs w:val="18"/>
              </w:rPr>
              <w:t xml:space="preserve">a residential treatment facility that also contracts with DFPS to provide </w:t>
            </w:r>
            <w:r w:rsidR="00D611DF" w:rsidRPr="0079053B">
              <w:rPr>
                <w:sz w:val="18"/>
                <w:szCs w:val="18"/>
              </w:rPr>
              <w:t>STAR services.</w:t>
            </w:r>
          </w:p>
        </w:tc>
        <w:tc>
          <w:tcPr>
            <w:tcW w:w="5296" w:type="dxa"/>
            <w:shd w:val="clear" w:color="auto" w:fill="auto"/>
          </w:tcPr>
          <w:p w:rsidR="00D32DD4" w:rsidRDefault="00D32DD4" w:rsidP="00451347">
            <w:pPr>
              <w:pStyle w:val="BodyText"/>
              <w:rPr>
                <w:sz w:val="18"/>
                <w:szCs w:val="18"/>
              </w:rPr>
            </w:pPr>
            <w:r w:rsidRPr="0079053B">
              <w:rPr>
                <w:sz w:val="18"/>
                <w:szCs w:val="18"/>
              </w:rPr>
              <w:t xml:space="preserve">Yes. </w:t>
            </w:r>
            <w:r w:rsidR="00BA0886" w:rsidRPr="0079053B">
              <w:rPr>
                <w:sz w:val="18"/>
                <w:szCs w:val="18"/>
              </w:rPr>
              <w:t xml:space="preserve">Due </w:t>
            </w:r>
            <w:r w:rsidR="00D611DF" w:rsidRPr="0079053B">
              <w:rPr>
                <w:sz w:val="18"/>
                <w:szCs w:val="18"/>
              </w:rPr>
              <w:t xml:space="preserve">to the additional financial and management responsibilities assigned to principals on the contract, </w:t>
            </w:r>
            <w:r w:rsidR="00D611DF" w:rsidRPr="0079053B">
              <w:rPr>
                <w:b/>
                <w:i/>
                <w:sz w:val="18"/>
                <w:szCs w:val="18"/>
              </w:rPr>
              <w:t xml:space="preserve">persons </w:t>
            </w:r>
            <w:r w:rsidR="00451347">
              <w:rPr>
                <w:b/>
                <w:i/>
                <w:sz w:val="18"/>
                <w:szCs w:val="18"/>
              </w:rPr>
              <w:t>identified as a principal on the contract</w:t>
            </w:r>
            <w:r w:rsidR="00D611DF" w:rsidRPr="0079053B">
              <w:rPr>
                <w:b/>
                <w:i/>
                <w:sz w:val="18"/>
                <w:szCs w:val="18"/>
              </w:rPr>
              <w:t xml:space="preserve"> MUST complete the PCS background checks</w:t>
            </w:r>
            <w:r w:rsidR="00D611DF" w:rsidRPr="0079053B">
              <w:rPr>
                <w:sz w:val="18"/>
                <w:szCs w:val="18"/>
              </w:rPr>
              <w:t xml:space="preserve"> and will be held to the same standards as other PCS contractors.</w:t>
            </w:r>
          </w:p>
          <w:p w:rsidR="00E26CD9" w:rsidRPr="0079053B" w:rsidRDefault="00E26CD9" w:rsidP="00451347">
            <w:pPr>
              <w:pStyle w:val="BodyText"/>
              <w:rPr>
                <w:sz w:val="18"/>
                <w:szCs w:val="18"/>
              </w:rPr>
            </w:pPr>
          </w:p>
        </w:tc>
      </w:tr>
    </w:tbl>
    <w:p w:rsidR="0080343E" w:rsidRDefault="0080343E" w:rsidP="00415E86"/>
    <w:sectPr w:rsidR="0080343E" w:rsidSect="004A027D">
      <w:pgSz w:w="15840" w:h="12240" w:orient="landscape"/>
      <w:pgMar w:top="1440" w:right="1440" w:bottom="15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51B22"/>
    <w:multiLevelType w:val="hybridMultilevel"/>
    <w:tmpl w:val="E9A4CC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45"/>
    <w:rsid w:val="00031C20"/>
    <w:rsid w:val="00031CC5"/>
    <w:rsid w:val="00070569"/>
    <w:rsid w:val="000E3AD7"/>
    <w:rsid w:val="001B5BB7"/>
    <w:rsid w:val="0022139C"/>
    <w:rsid w:val="00250663"/>
    <w:rsid w:val="002626A7"/>
    <w:rsid w:val="0029433E"/>
    <w:rsid w:val="002B4CEB"/>
    <w:rsid w:val="0031689D"/>
    <w:rsid w:val="00340350"/>
    <w:rsid w:val="003500E2"/>
    <w:rsid w:val="00363B5C"/>
    <w:rsid w:val="003E0795"/>
    <w:rsid w:val="00415E86"/>
    <w:rsid w:val="00444A71"/>
    <w:rsid w:val="00451347"/>
    <w:rsid w:val="004A027D"/>
    <w:rsid w:val="004B2725"/>
    <w:rsid w:val="005A344D"/>
    <w:rsid w:val="00660003"/>
    <w:rsid w:val="006D7F45"/>
    <w:rsid w:val="007138EE"/>
    <w:rsid w:val="0079053B"/>
    <w:rsid w:val="007E5464"/>
    <w:rsid w:val="007F745E"/>
    <w:rsid w:val="00801306"/>
    <w:rsid w:val="0080343E"/>
    <w:rsid w:val="008457C9"/>
    <w:rsid w:val="00852A53"/>
    <w:rsid w:val="00863DC3"/>
    <w:rsid w:val="008A6327"/>
    <w:rsid w:val="008D6EAB"/>
    <w:rsid w:val="008E15B8"/>
    <w:rsid w:val="008F3473"/>
    <w:rsid w:val="009132FB"/>
    <w:rsid w:val="00962B13"/>
    <w:rsid w:val="009703D3"/>
    <w:rsid w:val="009707A2"/>
    <w:rsid w:val="00A36C6A"/>
    <w:rsid w:val="00A5404C"/>
    <w:rsid w:val="00A73EDC"/>
    <w:rsid w:val="00A91557"/>
    <w:rsid w:val="00AA7C13"/>
    <w:rsid w:val="00B50DB1"/>
    <w:rsid w:val="00B626B8"/>
    <w:rsid w:val="00BA0886"/>
    <w:rsid w:val="00C01500"/>
    <w:rsid w:val="00C12D1C"/>
    <w:rsid w:val="00D008CF"/>
    <w:rsid w:val="00D27047"/>
    <w:rsid w:val="00D32DD4"/>
    <w:rsid w:val="00D611DF"/>
    <w:rsid w:val="00DA4145"/>
    <w:rsid w:val="00E24CBA"/>
    <w:rsid w:val="00E26CD9"/>
    <w:rsid w:val="00E7444B"/>
    <w:rsid w:val="00EA39D4"/>
    <w:rsid w:val="00ED02AB"/>
    <w:rsid w:val="00EE41E6"/>
    <w:rsid w:val="00F05B43"/>
    <w:rsid w:val="00F34F66"/>
    <w:rsid w:val="00F42FB5"/>
    <w:rsid w:val="00F8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B0FC8E-21D5-4768-9156-FCF8191D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14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4145"/>
    <w:rPr>
      <w:color w:val="0000FF"/>
      <w:u w:val="single"/>
    </w:rPr>
  </w:style>
  <w:style w:type="paragraph" w:styleId="BodyText">
    <w:name w:val="Body Text"/>
    <w:basedOn w:val="Normal"/>
    <w:rsid w:val="00DA4145"/>
    <w:rPr>
      <w:rFonts w:ascii="Arial" w:hAnsi="Arial" w:cs="Arial"/>
      <w:sz w:val="24"/>
    </w:rPr>
  </w:style>
  <w:style w:type="table" w:styleId="TableGrid">
    <w:name w:val="Table Grid"/>
    <w:basedOn w:val="TableNormal"/>
    <w:rsid w:val="00DA414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2policy">
    <w:name w:val="list2policy"/>
    <w:basedOn w:val="Normal"/>
    <w:rsid w:val="00340350"/>
    <w:pPr>
      <w:overflowPunct/>
      <w:autoSpaceDE/>
      <w:autoSpaceDN/>
      <w:adjustRightInd/>
      <w:spacing w:before="100" w:beforeAutospacing="1" w:after="100" w:afterAutospacing="1"/>
      <w:ind w:left="1500" w:hanging="375"/>
      <w:textAlignment w:val="auto"/>
    </w:pPr>
    <w:rPr>
      <w:sz w:val="24"/>
      <w:szCs w:val="24"/>
    </w:rPr>
  </w:style>
  <w:style w:type="paragraph" w:styleId="BalloonText">
    <w:name w:val="Balloon Text"/>
    <w:basedOn w:val="Normal"/>
    <w:semiHidden/>
    <w:rsid w:val="00444A71"/>
    <w:rPr>
      <w:rFonts w:ascii="Tahoma" w:hAnsi="Tahoma" w:cs="Tahoma"/>
      <w:sz w:val="16"/>
      <w:szCs w:val="16"/>
    </w:rPr>
  </w:style>
  <w:style w:type="paragraph" w:styleId="DocumentMap">
    <w:name w:val="Document Map"/>
    <w:basedOn w:val="Normal"/>
    <w:semiHidden/>
    <w:rsid w:val="007F745E"/>
    <w:pPr>
      <w:shd w:val="clear" w:color="auto" w:fill="000080"/>
    </w:pPr>
    <w:rPr>
      <w:rFonts w:ascii="Tahoma" w:hAnsi="Tahoma" w:cs="Tahoma"/>
    </w:rPr>
  </w:style>
  <w:style w:type="character" w:styleId="CommentReference">
    <w:name w:val="annotation reference"/>
    <w:rsid w:val="00EA39D4"/>
    <w:rPr>
      <w:sz w:val="16"/>
      <w:szCs w:val="16"/>
    </w:rPr>
  </w:style>
  <w:style w:type="paragraph" w:styleId="CommentText">
    <w:name w:val="annotation text"/>
    <w:basedOn w:val="Normal"/>
    <w:link w:val="CommentTextChar"/>
    <w:rsid w:val="00EA39D4"/>
  </w:style>
  <w:style w:type="character" w:customStyle="1" w:styleId="CommentTextChar">
    <w:name w:val="Comment Text Char"/>
    <w:basedOn w:val="DefaultParagraphFont"/>
    <w:link w:val="CommentText"/>
    <w:rsid w:val="00EA39D4"/>
  </w:style>
  <w:style w:type="paragraph" w:styleId="CommentSubject">
    <w:name w:val="annotation subject"/>
    <w:basedOn w:val="CommentText"/>
    <w:next w:val="CommentText"/>
    <w:link w:val="CommentSubjectChar"/>
    <w:rsid w:val="00EA39D4"/>
    <w:rPr>
      <w:b/>
      <w:bCs/>
    </w:rPr>
  </w:style>
  <w:style w:type="character" w:customStyle="1" w:styleId="CommentSubjectChar">
    <w:name w:val="Comment Subject Char"/>
    <w:link w:val="CommentSubject"/>
    <w:rsid w:val="00EA39D4"/>
    <w:rPr>
      <w:b/>
      <w:bCs/>
    </w:rPr>
  </w:style>
  <w:style w:type="character" w:styleId="FollowedHyperlink">
    <w:name w:val="FollowedHyperlink"/>
    <w:basedOn w:val="DefaultParagraphFont"/>
    <w:semiHidden/>
    <w:unhideWhenUsed/>
    <w:rsid w:val="00F05B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sos.state.tx.us/pls/pub/readtac$ext.ViewTAC?tac_view=5&amp;ti=40&amp;pt=19&amp;ch=745&amp;sch=F" TargetMode="External"/><Relationship Id="rId3" Type="http://schemas.openxmlformats.org/officeDocument/2006/relationships/styles" Target="styles.xml"/><Relationship Id="rId7" Type="http://schemas.openxmlformats.org/officeDocument/2006/relationships/hyperlink" Target="http://intranet/Handbooks/Volunteer/Files/VCE_pg_6400.as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ranet/CPI/Handbooks_and_Operating_Policies/Operations_Division/OP-2104.as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fps.state.tx.us/Handbooks/CBCU/Files/CBCU_pg_2000.asp" TargetMode="External"/><Relationship Id="rId4" Type="http://schemas.openxmlformats.org/officeDocument/2006/relationships/settings" Target="settings.xml"/><Relationship Id="rId9" Type="http://schemas.openxmlformats.org/officeDocument/2006/relationships/hyperlink" Target="http://info.sos.state.tx.us/pls/pub/readtac$ext.ViewTAC?tac_view=5&amp;ti=40&amp;pt=19&amp;ch=745&amp;sch=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7AEF-995D-46EC-835A-30794E5D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1003</Words>
  <Characters>6461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Purchased Client Services Background Check Exemption Chart</vt:lpstr>
    </vt:vector>
  </TitlesOfParts>
  <Company>DFPS</Company>
  <LinksUpToDate>false</LinksUpToDate>
  <CharactersWithSpaces>7450</CharactersWithSpaces>
  <SharedDoc>false</SharedDoc>
  <HLinks>
    <vt:vector size="30" baseType="variant">
      <vt:variant>
        <vt:i4>1310799</vt:i4>
      </vt:variant>
      <vt:variant>
        <vt:i4>12</vt:i4>
      </vt:variant>
      <vt:variant>
        <vt:i4>0</vt:i4>
      </vt:variant>
      <vt:variant>
        <vt:i4>5</vt:i4>
      </vt:variant>
      <vt:variant>
        <vt:lpwstr>http://intranet/CPI/Handbooks_and_Operating_Policies/Operations_Division/OP-1104.asp</vt:lpwstr>
      </vt:variant>
      <vt:variant>
        <vt:lpwstr/>
      </vt:variant>
      <vt:variant>
        <vt:i4>1310799</vt:i4>
      </vt:variant>
      <vt:variant>
        <vt:i4>9</vt:i4>
      </vt:variant>
      <vt:variant>
        <vt:i4>0</vt:i4>
      </vt:variant>
      <vt:variant>
        <vt:i4>5</vt:i4>
      </vt:variant>
      <vt:variant>
        <vt:lpwstr>http://intranet/CPI/Handbooks_and_Operating_Policies/Operations_Division/OP-1104.asp</vt:lpwstr>
      </vt:variant>
      <vt:variant>
        <vt:lpwstr/>
      </vt:variant>
      <vt:variant>
        <vt:i4>393248</vt:i4>
      </vt:variant>
      <vt:variant>
        <vt:i4>6</vt:i4>
      </vt:variant>
      <vt:variant>
        <vt:i4>0</vt:i4>
      </vt:variant>
      <vt:variant>
        <vt:i4>5</vt:i4>
      </vt:variant>
      <vt:variant>
        <vt:lpwstr>http://info.sos.state.tx.us/pls/pub/readtac$ext.ViewTAC?tac_view=5&amp;ti=40&amp;pt=19&amp;ch=745&amp;sch=F</vt:lpwstr>
      </vt:variant>
      <vt:variant>
        <vt:lpwstr/>
      </vt:variant>
      <vt:variant>
        <vt:i4>786465</vt:i4>
      </vt:variant>
      <vt:variant>
        <vt:i4>3</vt:i4>
      </vt:variant>
      <vt:variant>
        <vt:i4>0</vt:i4>
      </vt:variant>
      <vt:variant>
        <vt:i4>5</vt:i4>
      </vt:variant>
      <vt:variant>
        <vt:lpwstr>http://intranet/Handbooks/Volunteer/Files/VCE_pg_6400.asp</vt:lpwstr>
      </vt:variant>
      <vt:variant>
        <vt:lpwstr>VCE_6400</vt:lpwstr>
      </vt:variant>
      <vt:variant>
        <vt:i4>1310796</vt:i4>
      </vt:variant>
      <vt:variant>
        <vt:i4>0</vt:i4>
      </vt:variant>
      <vt:variant>
        <vt:i4>0</vt:i4>
      </vt:variant>
      <vt:variant>
        <vt:i4>5</vt:i4>
      </vt:variant>
      <vt:variant>
        <vt:lpwstr>http://intranet/CPI/Handbooks_and_Operating_Policies/Operations_Division/OP-2104.asp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Purchased Client Services Background Check Exemption Chart</dc:title>
  <dc:creator>Rachelle Daniel</dc:creator>
  <cp:lastModifiedBy>Seber,Jackie (DFPS)</cp:lastModifiedBy>
  <cp:revision>3</cp:revision>
  <cp:lastPrinted>2013-11-06T19:35:00Z</cp:lastPrinted>
  <dcterms:created xsi:type="dcterms:W3CDTF">2015-12-31T18:30:00Z</dcterms:created>
  <dcterms:modified xsi:type="dcterms:W3CDTF">2018-03-19T19:51:00Z</dcterms:modified>
</cp:coreProperties>
</file>